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93AA5D6" w14:textId="271B1A75" w:rsidR="003F5138" w:rsidRPr="00E71B59" w:rsidRDefault="00E06413" w:rsidP="001009CA">
      <w:pPr>
        <w:rPr>
          <w:rFonts w:ascii="Calibri" w:hAnsi="Calibri" w:cs="Calibri"/>
          <w:b/>
        </w:rPr>
      </w:pPr>
      <w:r>
        <w:rPr>
          <w:rFonts w:ascii="Calibri" w:hAnsi="Calibri" w:cs="Calibri"/>
          <w:b/>
          <w:noProof/>
        </w:rPr>
        <mc:AlternateContent>
          <mc:Choice Requires="wps">
            <w:drawing>
              <wp:anchor distT="0" distB="0" distL="114300" distR="114300" simplePos="0" relativeHeight="251665408" behindDoc="0" locked="0" layoutInCell="1" allowOverlap="1" wp14:anchorId="15804314" wp14:editId="37560756">
                <wp:simplePos x="0" y="0"/>
                <wp:positionH relativeFrom="column">
                  <wp:posOffset>5989320</wp:posOffset>
                </wp:positionH>
                <wp:positionV relativeFrom="paragraph">
                  <wp:posOffset>36830</wp:posOffset>
                </wp:positionV>
                <wp:extent cx="3223260" cy="243840"/>
                <wp:effectExtent l="0" t="0" r="15240" b="22860"/>
                <wp:wrapNone/>
                <wp:docPr id="3" name="Text Box 3"/>
                <wp:cNvGraphicFramePr/>
                <a:graphic xmlns:a="http://schemas.openxmlformats.org/drawingml/2006/main">
                  <a:graphicData uri="http://schemas.microsoft.com/office/word/2010/wordprocessingShape">
                    <wps:wsp>
                      <wps:cNvSpPr txBox="1"/>
                      <wps:spPr>
                        <a:xfrm>
                          <a:off x="0" y="0"/>
                          <a:ext cx="3223260" cy="243840"/>
                        </a:xfrm>
                        <a:prstGeom prst="rect">
                          <a:avLst/>
                        </a:prstGeom>
                        <a:solidFill>
                          <a:schemeClr val="accent6">
                            <a:lumMod val="40000"/>
                            <a:lumOff val="60000"/>
                          </a:schemeClr>
                        </a:solidFill>
                        <a:ln w="6350">
                          <a:solidFill>
                            <a:prstClr val="black"/>
                          </a:solidFill>
                        </a:ln>
                      </wps:spPr>
                      <wps:txbx>
                        <w:txbxContent>
                          <w:p w14:paraId="53831A8F" w14:textId="303C6444" w:rsidR="003F5138" w:rsidRPr="003F5138" w:rsidRDefault="003F5138" w:rsidP="003F5138">
                            <w:pPr>
                              <w:shd w:val="clear" w:color="auto" w:fill="C5E0B3" w:themeFill="accent6" w:themeFillTint="66"/>
                              <w:spacing w:after="0" w:line="240" w:lineRule="auto"/>
                              <w:jc w:val="center"/>
                              <w:rPr>
                                <w:rFonts w:ascii="Calibri" w:hAnsi="Calibri" w:cs="Calibri"/>
                                <w:b/>
                              </w:rPr>
                            </w:pPr>
                            <w:r w:rsidRPr="003F5138">
                              <w:rPr>
                                <w:rFonts w:ascii="Calibri" w:hAnsi="Calibri" w:cs="Calibri"/>
                                <w:b/>
                              </w:rPr>
                              <w:t>Maths Apparatus, Models and 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04314" id="_x0000_t202" coordsize="21600,21600" o:spt="202" path="m,l,21600r21600,l21600,xe">
                <v:stroke joinstyle="miter"/>
                <v:path gradientshapeok="t" o:connecttype="rect"/>
              </v:shapetype>
              <v:shape id="Text Box 3" o:spid="_x0000_s1026" type="#_x0000_t202" style="position:absolute;margin-left:471.6pt;margin-top:2.9pt;width:253.8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" fillcolor="#c5e0b3 [1305]" strokeweight=".5pt">
                <v:textbox>
                  <w:txbxContent>
                    <w:p w14:paraId="53831A8F" w14:textId="303C6444" w:rsidR="003F5138" w:rsidRPr="003F5138" w:rsidRDefault="003F5138" w:rsidP="003F5138">
                      <w:pPr>
                        <w:shd w:val="clear" w:color="auto" w:fill="C5E0B3" w:themeFill="accent6" w:themeFillTint="66"/>
                        <w:spacing w:after="0" w:line="240" w:lineRule="auto"/>
                        <w:jc w:val="center"/>
                        <w:rPr>
                          <w:rFonts w:ascii="Calibri" w:hAnsi="Calibri" w:cs="Calibri"/>
                          <w:b/>
                        </w:rPr>
                      </w:pPr>
                      <w:r w:rsidRPr="003F5138">
                        <w:rPr>
                          <w:rFonts w:ascii="Calibri" w:hAnsi="Calibri" w:cs="Calibri"/>
                          <w:b/>
                        </w:rPr>
                        <w:t>Maths Apparatus, Models and Images</w:t>
                      </w:r>
                    </w:p>
                  </w:txbxContent>
                </v:textbox>
              </v:shape>
            </w:pict>
          </mc:Fallback>
        </mc:AlternateContent>
      </w:r>
      <w:r w:rsidR="009F0F1A" w:rsidRPr="003F5138">
        <w:rPr>
          <w:rFonts w:ascii="Calibri" w:hAnsi="Calibri" w:cs="Calibri"/>
          <w:b/>
          <w:noProof/>
        </w:rPr>
        <w:drawing>
          <wp:anchor distT="0" distB="0" distL="114300" distR="114300" simplePos="0" relativeHeight="251664384" behindDoc="0" locked="0" layoutInCell="1" allowOverlap="1" wp14:anchorId="1233D9AC" wp14:editId="14F1592D">
            <wp:simplePos x="0" y="0"/>
            <wp:positionH relativeFrom="column">
              <wp:posOffset>5463540</wp:posOffset>
            </wp:positionH>
            <wp:positionV relativeFrom="paragraph">
              <wp:posOffset>364490</wp:posOffset>
            </wp:positionV>
            <wp:extent cx="4298315" cy="2636520"/>
            <wp:effectExtent l="38100" t="38100" r="45085" b="304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8235"/>
                    <a:stretch/>
                  </pic:blipFill>
                  <pic:spPr bwMode="auto">
                    <a:xfrm>
                      <a:off x="0" y="0"/>
                      <a:ext cx="4298315" cy="2636520"/>
                    </a:xfrm>
                    <a:prstGeom prst="rect">
                      <a:avLst/>
                    </a:prstGeom>
                    <a:ln w="28575">
                      <a:solidFill>
                        <a:schemeClr val="accent6">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5138" w:rsidRPr="003750B8">
        <w:rPr>
          <w:rFonts w:ascii="Calibri" w:hAnsi="Calibri" w:cs="Calibri"/>
          <w:b/>
          <w:noProof/>
        </w:rPr>
        <mc:AlternateContent>
          <mc:Choice Requires="wps">
            <w:drawing>
              <wp:anchor distT="45720" distB="45720" distL="114300" distR="114300" simplePos="0" relativeHeight="251663360" behindDoc="0" locked="0" layoutInCell="1" allowOverlap="1" wp14:anchorId="709B3B85" wp14:editId="78836EF2">
                <wp:simplePos x="0" y="0"/>
                <wp:positionH relativeFrom="column">
                  <wp:posOffset>76200</wp:posOffset>
                </wp:positionH>
                <wp:positionV relativeFrom="paragraph">
                  <wp:posOffset>4445</wp:posOffset>
                </wp:positionV>
                <wp:extent cx="5334000" cy="59740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974080"/>
                        </a:xfrm>
                        <a:prstGeom prst="rect">
                          <a:avLst/>
                        </a:prstGeom>
                        <a:solidFill>
                          <a:srgbClr val="FFFFFF"/>
                        </a:solidFill>
                        <a:ln w="9525">
                          <a:noFill/>
                          <a:miter lim="800000"/>
                          <a:headEnd/>
                          <a:tailEnd/>
                        </a:ln>
                      </wps:spPr>
                      <wps:txbx>
                        <w:txbxContent>
                          <w:tbl>
                            <w:tblPr>
                              <w:tblStyle w:val="TableGrid"/>
                              <w:tblW w:w="8080" w:type="dxa"/>
                              <w:tblInd w:w="-5" w:type="dxa"/>
                              <w:tblLook w:val="04A0" w:firstRow="1" w:lastRow="0" w:firstColumn="1" w:lastColumn="0" w:noHBand="0" w:noVBand="1"/>
                            </w:tblPr>
                            <w:tblGrid>
                              <w:gridCol w:w="8080"/>
                            </w:tblGrid>
                            <w:tr w:rsidR="004F598E" w14:paraId="4E274F28" w14:textId="77777777" w:rsidTr="003F5138">
                              <w:tc>
                                <w:tcPr>
                                  <w:tcW w:w="8080" w:type="dxa"/>
                                  <w:shd w:val="clear" w:color="auto" w:fill="C5E0B3" w:themeFill="accent6" w:themeFillTint="66"/>
                                </w:tcPr>
                                <w:p w14:paraId="60C70568" w14:textId="38CFA8F6" w:rsidR="004F598E" w:rsidRDefault="004F598E" w:rsidP="003750B8">
                                  <w:pPr>
                                    <w:rPr>
                                      <w:rFonts w:ascii="Calibri" w:hAnsi="Calibri" w:cs="Calibri"/>
                                      <w:b/>
                                    </w:rPr>
                                  </w:pPr>
                                  <w:r>
                                    <w:rPr>
                                      <w:rFonts w:ascii="Calibri" w:hAnsi="Calibri" w:cs="Calibri"/>
                                      <w:b/>
                                    </w:rPr>
                                    <w:t>Curriculum Content</w:t>
                                  </w:r>
                                </w:p>
                              </w:tc>
                            </w:tr>
                            <w:tr w:rsidR="004F598E" w14:paraId="69403278" w14:textId="77777777" w:rsidTr="003F5138">
                              <w:tc>
                                <w:tcPr>
                                  <w:tcW w:w="8080" w:type="dxa"/>
                                  <w:shd w:val="clear" w:color="auto" w:fill="FFFFFF" w:themeFill="background1"/>
                                </w:tcPr>
                                <w:p w14:paraId="54B68AF0" w14:textId="77777777" w:rsidR="004F598E" w:rsidRPr="009F0F1A" w:rsidRDefault="004F598E" w:rsidP="004F598E">
                                  <w:pPr>
                                    <w:rPr>
                                      <w:rFonts w:ascii="Calibri" w:hAnsi="Calibri" w:cs="Calibri"/>
                                      <w:sz w:val="21"/>
                                      <w:szCs w:val="21"/>
                                    </w:rPr>
                                  </w:pPr>
                                  <w:r w:rsidRPr="009F0F1A">
                                    <w:rPr>
                                      <w:rFonts w:ascii="Calibri" w:hAnsi="Calibri" w:cs="Calibri"/>
                                      <w:sz w:val="21"/>
                                      <w:szCs w:val="21"/>
                                    </w:rPr>
                                    <w:t>In Key Stage 1 and Key Stage 2, White Rose Maths is used to form the small steps for learning. This is supplemented by other high-quality resources including Maths Shed, NCETM and I See Reasoning. We have used this approach for the last four years and it is very successful in securing mathematics learning across the school and progression across year groups. In Early Years Foundation Stage, we follow the Mastering Number programme.</w:t>
                                  </w:r>
                                </w:p>
                                <w:p w14:paraId="79FD0814" w14:textId="77777777" w:rsidR="004F598E" w:rsidRPr="009F0F1A" w:rsidRDefault="004F598E" w:rsidP="004F598E">
                                  <w:pPr>
                                    <w:rPr>
                                      <w:rFonts w:ascii="Calibri" w:hAnsi="Calibri" w:cs="Calibri"/>
                                      <w:sz w:val="21"/>
                                      <w:szCs w:val="21"/>
                                    </w:rPr>
                                  </w:pPr>
                                  <w:r w:rsidRPr="009F0F1A">
                                    <w:rPr>
                                      <w:rFonts w:ascii="Calibri" w:hAnsi="Calibri" w:cs="Calibri"/>
                                      <w:sz w:val="21"/>
                                      <w:szCs w:val="21"/>
                                    </w:rPr>
                                    <w:t>Our curriculum is underpinned by ensuring that our children have a thorough understanding of their learning. We confirm that each concept is taught using concrete apparatus, and that children only move on to pictorial and abstract representations when they are secure with this.</w:t>
                                  </w:r>
                                </w:p>
                                <w:p w14:paraId="6A4B63CA" w14:textId="7B2BEC56" w:rsidR="004F598E" w:rsidRDefault="004F598E" w:rsidP="004F598E">
                                  <w:pPr>
                                    <w:rPr>
                                      <w:rFonts w:ascii="Calibri" w:hAnsi="Calibri" w:cs="Calibri"/>
                                      <w:b/>
                                    </w:rPr>
                                  </w:pPr>
                                  <w:r w:rsidRPr="009F0F1A">
                                    <w:rPr>
                                      <w:rFonts w:ascii="Calibri" w:hAnsi="Calibri" w:cs="Calibri"/>
                                      <w:sz w:val="21"/>
                                      <w:szCs w:val="21"/>
                                    </w:rPr>
                                    <w:t>Fluency and retrieval are built in to learning at every age and stage. Children complete retrieval on a daily basis, which targets prior learning that needs to be recalled for success during the next lesson.</w:t>
                                  </w:r>
                                </w:p>
                              </w:tc>
                            </w:tr>
                            <w:tr w:rsidR="004F598E" w14:paraId="52F1FD90" w14:textId="77777777" w:rsidTr="009F0F1A">
                              <w:trPr>
                                <w:trHeight w:val="58"/>
                              </w:trPr>
                              <w:tc>
                                <w:tcPr>
                                  <w:tcW w:w="8080" w:type="dxa"/>
                                  <w:tcBorders>
                                    <w:left w:val="single" w:sz="4" w:space="0" w:color="FFFFFF"/>
                                    <w:right w:val="single" w:sz="4" w:space="0" w:color="FFFFFF"/>
                                  </w:tcBorders>
                                  <w:shd w:val="clear" w:color="auto" w:fill="FFFFFF" w:themeFill="background1"/>
                                </w:tcPr>
                                <w:p w14:paraId="63F89827" w14:textId="77777777" w:rsidR="004F598E" w:rsidRPr="009F0F1A" w:rsidRDefault="004F598E" w:rsidP="003750B8">
                                  <w:pPr>
                                    <w:rPr>
                                      <w:rFonts w:ascii="Calibri" w:hAnsi="Calibri" w:cs="Calibri"/>
                                      <w:b/>
                                      <w:sz w:val="10"/>
                                    </w:rPr>
                                  </w:pPr>
                                </w:p>
                              </w:tc>
                            </w:tr>
                            <w:tr w:rsidR="003750B8" w14:paraId="1362DA72" w14:textId="77777777" w:rsidTr="003F5138">
                              <w:tc>
                                <w:tcPr>
                                  <w:tcW w:w="8080"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3F5138">
                              <w:tc>
                                <w:tcPr>
                                  <w:tcW w:w="8080" w:type="dxa"/>
                                  <w:tcBorders>
                                    <w:bottom w:val="single" w:sz="4" w:space="0" w:color="auto"/>
                                  </w:tcBorders>
                                </w:tcPr>
                                <w:p w14:paraId="5262FB57" w14:textId="128560C9" w:rsidR="003750B8" w:rsidRPr="009F0F1A" w:rsidRDefault="004F598E" w:rsidP="003750B8">
                                  <w:pPr>
                                    <w:rPr>
                                      <w:rFonts w:ascii="Calibri" w:hAnsi="Calibri" w:cs="Calibri"/>
                                      <w:sz w:val="21"/>
                                      <w:szCs w:val="21"/>
                                    </w:rPr>
                                  </w:pPr>
                                  <w:r w:rsidRPr="009F0F1A">
                                    <w:rPr>
                                      <w:rFonts w:ascii="Calibri" w:hAnsi="Calibri" w:cs="Calibri"/>
                                      <w:sz w:val="21"/>
                                      <w:szCs w:val="21"/>
                                    </w:rPr>
                                    <w:t xml:space="preserve">Across school, lessons begin with retrieval of prior learning. This is to ensure that children have the skills and knowledge previously taught to allow them to be successful in the next small step. Staff use this prior learning assessment to identify any gaps or misconceptions that inform their teaching. </w:t>
                                  </w:r>
                                </w:p>
                                <w:p w14:paraId="21DEB08D" w14:textId="06A02CEA" w:rsidR="004F598E" w:rsidRPr="009F0F1A" w:rsidRDefault="004F598E" w:rsidP="003750B8">
                                  <w:pPr>
                                    <w:rPr>
                                      <w:rFonts w:ascii="Calibri" w:hAnsi="Calibri" w:cs="Calibri"/>
                                      <w:sz w:val="21"/>
                                      <w:szCs w:val="21"/>
                                    </w:rPr>
                                  </w:pPr>
                                  <w:r w:rsidRPr="009F0F1A">
                                    <w:rPr>
                                      <w:rFonts w:ascii="Calibri" w:hAnsi="Calibri" w:cs="Calibri"/>
                                      <w:sz w:val="21"/>
                                      <w:szCs w:val="21"/>
                                    </w:rPr>
                                    <w:t xml:space="preserve">Apparatus is available for children to use across the school. Children are well rehearsed in accessing appropriate equipment that is suitable for their needs. This is modelled by teachers and teaching assistants, using visualisers and interactive whiteboards. </w:t>
                                  </w:r>
                                </w:p>
                                <w:p w14:paraId="3045C541" w14:textId="77777777" w:rsidR="003750B8" w:rsidRPr="009F0F1A" w:rsidRDefault="003F5138" w:rsidP="003750B8">
                                  <w:pPr>
                                    <w:rPr>
                                      <w:rFonts w:ascii="Calibri" w:hAnsi="Calibri" w:cs="Calibri"/>
                                      <w:sz w:val="21"/>
                                      <w:szCs w:val="21"/>
                                    </w:rPr>
                                  </w:pPr>
                                  <w:r w:rsidRPr="009F0F1A">
                                    <w:rPr>
                                      <w:rFonts w:ascii="Calibri" w:hAnsi="Calibri" w:cs="Calibri"/>
                                      <w:sz w:val="21"/>
                                      <w:szCs w:val="21"/>
                                    </w:rPr>
                                    <w:t xml:space="preserve">Reasoning and problem solving underpins teaching. At times, fluency is taught discretely (especially when learning a new concept), but it is usually the case the all children complete reasoning and problem solving in every lesson.  </w:t>
                                  </w:r>
                                </w:p>
                                <w:p w14:paraId="3A510DBA" w14:textId="307FBAA0" w:rsidR="003F5138" w:rsidRPr="009F0F1A" w:rsidRDefault="003F5138" w:rsidP="003750B8">
                                  <w:pPr>
                                    <w:rPr>
                                      <w:rFonts w:ascii="Calibri" w:hAnsi="Calibri" w:cs="Calibri"/>
                                      <w:sz w:val="21"/>
                                      <w:szCs w:val="21"/>
                                    </w:rPr>
                                  </w:pPr>
                                  <w:r w:rsidRPr="009F0F1A">
                                    <w:rPr>
                                      <w:rFonts w:ascii="Calibri" w:hAnsi="Calibri" w:cs="Calibri"/>
                                      <w:sz w:val="21"/>
                                      <w:szCs w:val="21"/>
                                    </w:rPr>
                                    <w:t xml:space="preserve">Assessment informs next steps in children’s learning. Assessment is done both in the lesson, and after the lesson when marking books and planning next steps. </w:t>
                                  </w:r>
                                </w:p>
                              </w:tc>
                            </w:tr>
                            <w:tr w:rsidR="004F598E" w14:paraId="376E03FF" w14:textId="77777777" w:rsidTr="003F5138">
                              <w:tc>
                                <w:tcPr>
                                  <w:tcW w:w="8080" w:type="dxa"/>
                                  <w:tcBorders>
                                    <w:left w:val="single" w:sz="4" w:space="0" w:color="FFFFFF" w:themeColor="background1"/>
                                    <w:bottom w:val="single" w:sz="4" w:space="0" w:color="auto"/>
                                    <w:right w:val="single" w:sz="4" w:space="0" w:color="FFFFFF" w:themeColor="background1"/>
                                  </w:tcBorders>
                                </w:tcPr>
                                <w:p w14:paraId="17F1EF17" w14:textId="77777777" w:rsidR="004F598E" w:rsidRPr="009F0F1A" w:rsidRDefault="004F598E" w:rsidP="003750B8">
                                  <w:pPr>
                                    <w:rPr>
                                      <w:rFonts w:ascii="Calibri" w:hAnsi="Calibri" w:cs="Calibri"/>
                                      <w:sz w:val="10"/>
                                    </w:rPr>
                                  </w:pPr>
                                </w:p>
                              </w:tc>
                            </w:tr>
                            <w:tr w:rsidR="004F598E" w14:paraId="54B32DF9" w14:textId="77777777" w:rsidTr="003F5138">
                              <w:tc>
                                <w:tcPr>
                                  <w:tcW w:w="8080" w:type="dxa"/>
                                  <w:tcBorders>
                                    <w:top w:val="single" w:sz="4" w:space="0" w:color="auto"/>
                                  </w:tcBorders>
                                  <w:shd w:val="clear" w:color="auto" w:fill="C5E0B3" w:themeFill="accent6" w:themeFillTint="66"/>
                                </w:tcPr>
                                <w:p w14:paraId="0AC8CED3" w14:textId="2AB09FB8" w:rsidR="004F598E" w:rsidRDefault="004F598E" w:rsidP="003750B8">
                                  <w:pPr>
                                    <w:rPr>
                                      <w:rFonts w:ascii="Calibri" w:hAnsi="Calibri" w:cs="Calibri"/>
                                    </w:rPr>
                                  </w:pPr>
                                  <w:r>
                                    <w:rPr>
                                      <w:rFonts w:ascii="Calibri" w:hAnsi="Calibri" w:cs="Calibri"/>
                                      <w:b/>
                                    </w:rPr>
                                    <w:t>SEND</w:t>
                                  </w:r>
                                </w:p>
                              </w:tc>
                            </w:tr>
                            <w:tr w:rsidR="004F598E" w14:paraId="7D8D2425" w14:textId="77777777" w:rsidTr="003F5138">
                              <w:tc>
                                <w:tcPr>
                                  <w:tcW w:w="8080" w:type="dxa"/>
                                </w:tcPr>
                                <w:p w14:paraId="35F9D22B" w14:textId="77777777" w:rsidR="004F598E" w:rsidRPr="009F0F1A" w:rsidRDefault="009F0F1A" w:rsidP="003750B8">
                                  <w:pPr>
                                    <w:rPr>
                                      <w:rFonts w:ascii="Calibri" w:hAnsi="Calibri" w:cs="Calibri"/>
                                      <w:sz w:val="21"/>
                                      <w:szCs w:val="21"/>
                                    </w:rPr>
                                  </w:pPr>
                                  <w:r w:rsidRPr="009F0F1A">
                                    <w:rPr>
                                      <w:rFonts w:ascii="Calibri" w:hAnsi="Calibri" w:cs="Calibri"/>
                                      <w:sz w:val="21"/>
                                      <w:szCs w:val="21"/>
                                    </w:rPr>
                                    <w:t xml:space="preserve">SEND children are well supported in lessons to access learning that is in line with the rest of the class, but at the correct stage for their needs. Assessment underpins this. Doodle Maths and </w:t>
                                  </w:r>
                                  <w:proofErr w:type="spellStart"/>
                                  <w:r w:rsidRPr="009F0F1A">
                                    <w:rPr>
                                      <w:rFonts w:ascii="Calibri" w:hAnsi="Calibri" w:cs="Calibri"/>
                                      <w:sz w:val="21"/>
                                      <w:szCs w:val="21"/>
                                    </w:rPr>
                                    <w:t>NumBots</w:t>
                                  </w:r>
                                  <w:proofErr w:type="spellEnd"/>
                                  <w:r w:rsidRPr="009F0F1A">
                                    <w:rPr>
                                      <w:rFonts w:ascii="Calibri" w:hAnsi="Calibri" w:cs="Calibri"/>
                                      <w:sz w:val="21"/>
                                      <w:szCs w:val="21"/>
                                    </w:rPr>
                                    <w:t xml:space="preserve"> are used at SEND interventions for target children. </w:t>
                                  </w:r>
                                </w:p>
                                <w:p w14:paraId="0D61D74C" w14:textId="607DC65D" w:rsidR="009F0F1A" w:rsidRDefault="009F0F1A" w:rsidP="003750B8">
                                  <w:pPr>
                                    <w:rPr>
                                      <w:rFonts w:ascii="Calibri" w:hAnsi="Calibri" w:cs="Calibri"/>
                                    </w:rPr>
                                  </w:pPr>
                                  <w:r w:rsidRPr="009F0F1A">
                                    <w:rPr>
                                      <w:rFonts w:ascii="Calibri" w:hAnsi="Calibri" w:cs="Calibri"/>
                                      <w:sz w:val="21"/>
                                      <w:szCs w:val="21"/>
                                    </w:rPr>
                                    <w:t>SEND teaching assistants work closely with class teachers to ensure that learning meets the needs of the children. Maths interventions and next steps are planned in to SEND one-page profile meetings.</w:t>
                                  </w:r>
                                  <w:r>
                                    <w:rPr>
                                      <w:rFonts w:ascii="Calibri" w:hAnsi="Calibri" w:cs="Calibri"/>
                                    </w:rPr>
                                    <w:t xml:space="preserve"> </w:t>
                                  </w:r>
                                </w:p>
                              </w:tc>
                            </w:tr>
                          </w:tbl>
                          <w:p w14:paraId="53D42345" w14:textId="77777777" w:rsidR="003750B8" w:rsidRDefault="003750B8" w:rsidP="00375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3B85" id="_x0000_t202" coordsize="21600,21600" o:spt="202" path="m,l,21600r21600,l21600,xe">
                <v:stroke joinstyle="miter"/>
                <v:path gradientshapeok="t" o:connecttype="rect"/>
              </v:shapetype>
              <v:shape id="Text Box 2" o:spid="_x0000_s1027" type="#_x0000_t202" style="position:absolute;margin-left:6pt;margin-top:.35pt;width:420pt;height:47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" stroked="f">
                <v:textbox>
                  <w:txbxContent>
                    <w:tbl>
                      <w:tblPr>
                        <w:tblStyle w:val="TableGrid"/>
                        <w:tblW w:w="8080" w:type="dxa"/>
                        <w:tblInd w:w="-5" w:type="dxa"/>
                        <w:tblLook w:val="04A0" w:firstRow="1" w:lastRow="0" w:firstColumn="1" w:lastColumn="0" w:noHBand="0" w:noVBand="1"/>
                      </w:tblPr>
                      <w:tblGrid>
                        <w:gridCol w:w="8080"/>
                      </w:tblGrid>
                      <w:tr w:rsidR="004F598E" w14:paraId="4E274F28" w14:textId="77777777" w:rsidTr="003F5138">
                        <w:tc>
                          <w:tcPr>
                            <w:tcW w:w="8080" w:type="dxa"/>
                            <w:shd w:val="clear" w:color="auto" w:fill="C5E0B3" w:themeFill="accent6" w:themeFillTint="66"/>
                          </w:tcPr>
                          <w:p w14:paraId="60C70568" w14:textId="38CFA8F6" w:rsidR="004F598E" w:rsidRDefault="004F598E" w:rsidP="003750B8">
                            <w:pPr>
                              <w:rPr>
                                <w:rFonts w:ascii="Calibri" w:hAnsi="Calibri" w:cs="Calibri"/>
                                <w:b/>
                              </w:rPr>
                            </w:pPr>
                            <w:r>
                              <w:rPr>
                                <w:rFonts w:ascii="Calibri" w:hAnsi="Calibri" w:cs="Calibri"/>
                                <w:b/>
                              </w:rPr>
                              <w:t>Curriculum Content</w:t>
                            </w:r>
                          </w:p>
                        </w:tc>
                      </w:tr>
                      <w:tr w:rsidR="004F598E" w14:paraId="69403278" w14:textId="77777777" w:rsidTr="003F5138">
                        <w:tc>
                          <w:tcPr>
                            <w:tcW w:w="8080" w:type="dxa"/>
                            <w:shd w:val="clear" w:color="auto" w:fill="FFFFFF" w:themeFill="background1"/>
                          </w:tcPr>
                          <w:p w14:paraId="54B68AF0" w14:textId="77777777" w:rsidR="004F598E" w:rsidRPr="009F0F1A" w:rsidRDefault="004F598E" w:rsidP="004F598E">
                            <w:pPr>
                              <w:rPr>
                                <w:rFonts w:ascii="Calibri" w:hAnsi="Calibri" w:cs="Calibri"/>
                                <w:sz w:val="21"/>
                                <w:szCs w:val="21"/>
                              </w:rPr>
                            </w:pPr>
                            <w:r w:rsidRPr="009F0F1A">
                              <w:rPr>
                                <w:rFonts w:ascii="Calibri" w:hAnsi="Calibri" w:cs="Calibri"/>
                                <w:sz w:val="21"/>
                                <w:szCs w:val="21"/>
                              </w:rPr>
                              <w:t>In Key Stage 1 and Key Stage 2, White Rose Maths is used to form the small steps for learning. This is supplemented by other high-quality resources including Maths Shed, NCETM and I See Reasoning. We have used this approach for the last four years and it is very successful in securing mathematics learning across the school and progression across year groups. In Early Years Foundation Stage, we follow the Mastering Number programme.</w:t>
                            </w:r>
                          </w:p>
                          <w:p w14:paraId="79FD0814" w14:textId="77777777" w:rsidR="004F598E" w:rsidRPr="009F0F1A" w:rsidRDefault="004F598E" w:rsidP="004F598E">
                            <w:pPr>
                              <w:rPr>
                                <w:rFonts w:ascii="Calibri" w:hAnsi="Calibri" w:cs="Calibri"/>
                                <w:sz w:val="21"/>
                                <w:szCs w:val="21"/>
                              </w:rPr>
                            </w:pPr>
                            <w:r w:rsidRPr="009F0F1A">
                              <w:rPr>
                                <w:rFonts w:ascii="Calibri" w:hAnsi="Calibri" w:cs="Calibri"/>
                                <w:sz w:val="21"/>
                                <w:szCs w:val="21"/>
                              </w:rPr>
                              <w:t>Our curriculum is underpinned by ensuring that our children have a thorough understanding of their learning. We confirm that each concept is taught using concrete apparatus, and that children only move on to pictorial and abstract representations when they are secure with this.</w:t>
                            </w:r>
                          </w:p>
                          <w:p w14:paraId="6A4B63CA" w14:textId="7B2BEC56" w:rsidR="004F598E" w:rsidRDefault="004F598E" w:rsidP="004F598E">
                            <w:pPr>
                              <w:rPr>
                                <w:rFonts w:ascii="Calibri" w:hAnsi="Calibri" w:cs="Calibri"/>
                                <w:b/>
                              </w:rPr>
                            </w:pPr>
                            <w:r w:rsidRPr="009F0F1A">
                              <w:rPr>
                                <w:rFonts w:ascii="Calibri" w:hAnsi="Calibri" w:cs="Calibri"/>
                                <w:sz w:val="21"/>
                                <w:szCs w:val="21"/>
                              </w:rPr>
                              <w:t>Fluency and retrieval are built in to learning at every age and stage. Children complete retrieval on a daily basis, which targets prior learning that needs to be recalled for success during the next lesson.</w:t>
                            </w:r>
                          </w:p>
                        </w:tc>
                      </w:tr>
                      <w:tr w:rsidR="004F598E" w14:paraId="52F1FD90" w14:textId="77777777" w:rsidTr="009F0F1A">
                        <w:trPr>
                          <w:trHeight w:val="58"/>
                        </w:trPr>
                        <w:tc>
                          <w:tcPr>
                            <w:tcW w:w="8080" w:type="dxa"/>
                            <w:tcBorders>
                              <w:left w:val="single" w:sz="4" w:space="0" w:color="FFFFFF"/>
                              <w:right w:val="single" w:sz="4" w:space="0" w:color="FFFFFF"/>
                            </w:tcBorders>
                            <w:shd w:val="clear" w:color="auto" w:fill="FFFFFF" w:themeFill="background1"/>
                          </w:tcPr>
                          <w:p w14:paraId="63F89827" w14:textId="77777777" w:rsidR="004F598E" w:rsidRPr="009F0F1A" w:rsidRDefault="004F598E" w:rsidP="003750B8">
                            <w:pPr>
                              <w:rPr>
                                <w:rFonts w:ascii="Calibri" w:hAnsi="Calibri" w:cs="Calibri"/>
                                <w:b/>
                                <w:sz w:val="10"/>
                              </w:rPr>
                            </w:pPr>
                          </w:p>
                        </w:tc>
                      </w:tr>
                      <w:tr w:rsidR="003750B8" w14:paraId="1362DA72" w14:textId="77777777" w:rsidTr="003F5138">
                        <w:tc>
                          <w:tcPr>
                            <w:tcW w:w="8080" w:type="dxa"/>
                            <w:shd w:val="clear" w:color="auto" w:fill="C5E0B3" w:themeFill="accent6" w:themeFillTint="66"/>
                          </w:tcPr>
                          <w:p w14:paraId="2A04C0BD" w14:textId="26205333" w:rsidR="003750B8" w:rsidRDefault="003750B8" w:rsidP="003750B8">
                            <w:pPr>
                              <w:rPr>
                                <w:rFonts w:ascii="Calibri" w:hAnsi="Calibri" w:cs="Calibri"/>
                                <w:b/>
                              </w:rPr>
                            </w:pPr>
                            <w:r>
                              <w:rPr>
                                <w:rFonts w:ascii="Calibri" w:hAnsi="Calibri" w:cs="Calibri"/>
                                <w:b/>
                              </w:rPr>
                              <w:t>Pedagogy</w:t>
                            </w:r>
                          </w:p>
                        </w:tc>
                      </w:tr>
                      <w:tr w:rsidR="003750B8" w14:paraId="5288593C" w14:textId="77777777" w:rsidTr="003F5138">
                        <w:tc>
                          <w:tcPr>
                            <w:tcW w:w="8080" w:type="dxa"/>
                            <w:tcBorders>
                              <w:bottom w:val="single" w:sz="4" w:space="0" w:color="auto"/>
                            </w:tcBorders>
                          </w:tcPr>
                          <w:p w14:paraId="5262FB57" w14:textId="128560C9" w:rsidR="003750B8" w:rsidRPr="009F0F1A" w:rsidRDefault="004F598E" w:rsidP="003750B8">
                            <w:pPr>
                              <w:rPr>
                                <w:rFonts w:ascii="Calibri" w:hAnsi="Calibri" w:cs="Calibri"/>
                                <w:sz w:val="21"/>
                                <w:szCs w:val="21"/>
                              </w:rPr>
                            </w:pPr>
                            <w:r w:rsidRPr="009F0F1A">
                              <w:rPr>
                                <w:rFonts w:ascii="Calibri" w:hAnsi="Calibri" w:cs="Calibri"/>
                                <w:sz w:val="21"/>
                                <w:szCs w:val="21"/>
                              </w:rPr>
                              <w:t xml:space="preserve">Across school, lessons begin with retrieval of prior learning. This is to ensure that children have the skills and knowledge previously taught to allow them to be successful in the next small step. Staff use this prior learning assessment to identify any gaps or misconceptions that inform their teaching. </w:t>
                            </w:r>
                          </w:p>
                          <w:p w14:paraId="21DEB08D" w14:textId="06A02CEA" w:rsidR="004F598E" w:rsidRPr="009F0F1A" w:rsidRDefault="004F598E" w:rsidP="003750B8">
                            <w:pPr>
                              <w:rPr>
                                <w:rFonts w:ascii="Calibri" w:hAnsi="Calibri" w:cs="Calibri"/>
                                <w:sz w:val="21"/>
                                <w:szCs w:val="21"/>
                              </w:rPr>
                            </w:pPr>
                            <w:r w:rsidRPr="009F0F1A">
                              <w:rPr>
                                <w:rFonts w:ascii="Calibri" w:hAnsi="Calibri" w:cs="Calibri"/>
                                <w:sz w:val="21"/>
                                <w:szCs w:val="21"/>
                              </w:rPr>
                              <w:t xml:space="preserve">Apparatus is available for children to use across the school. Children are well rehearsed in accessing appropriate equipment that is suitable for their needs. This is modelled by teachers and teaching assistants, using visualisers and interactive whiteboards. </w:t>
                            </w:r>
                          </w:p>
                          <w:p w14:paraId="3045C541" w14:textId="77777777" w:rsidR="003750B8" w:rsidRPr="009F0F1A" w:rsidRDefault="003F5138" w:rsidP="003750B8">
                            <w:pPr>
                              <w:rPr>
                                <w:rFonts w:ascii="Calibri" w:hAnsi="Calibri" w:cs="Calibri"/>
                                <w:sz w:val="21"/>
                                <w:szCs w:val="21"/>
                              </w:rPr>
                            </w:pPr>
                            <w:r w:rsidRPr="009F0F1A">
                              <w:rPr>
                                <w:rFonts w:ascii="Calibri" w:hAnsi="Calibri" w:cs="Calibri"/>
                                <w:sz w:val="21"/>
                                <w:szCs w:val="21"/>
                              </w:rPr>
                              <w:t xml:space="preserve">Reasoning and problem solving underpins teaching. At times, fluency is taught discretely (especially when learning a new concept), but it is usually the case the all children complete reasoning and problem solving in every lesson.  </w:t>
                            </w:r>
                          </w:p>
                          <w:p w14:paraId="3A510DBA" w14:textId="307FBAA0" w:rsidR="003F5138" w:rsidRPr="009F0F1A" w:rsidRDefault="003F5138" w:rsidP="003750B8">
                            <w:pPr>
                              <w:rPr>
                                <w:rFonts w:ascii="Calibri" w:hAnsi="Calibri" w:cs="Calibri"/>
                                <w:sz w:val="21"/>
                                <w:szCs w:val="21"/>
                              </w:rPr>
                            </w:pPr>
                            <w:r w:rsidRPr="009F0F1A">
                              <w:rPr>
                                <w:rFonts w:ascii="Calibri" w:hAnsi="Calibri" w:cs="Calibri"/>
                                <w:sz w:val="21"/>
                                <w:szCs w:val="21"/>
                              </w:rPr>
                              <w:t xml:space="preserve">Assessment informs next steps in children’s learning. Assessment is done both in the lesson, and after the lesson when marking books and planning next steps. </w:t>
                            </w:r>
                          </w:p>
                        </w:tc>
                      </w:tr>
                      <w:tr w:rsidR="004F598E" w14:paraId="376E03FF" w14:textId="77777777" w:rsidTr="003F5138">
                        <w:tc>
                          <w:tcPr>
                            <w:tcW w:w="8080" w:type="dxa"/>
                            <w:tcBorders>
                              <w:left w:val="single" w:sz="4" w:space="0" w:color="FFFFFF" w:themeColor="background1"/>
                              <w:bottom w:val="single" w:sz="4" w:space="0" w:color="auto"/>
                              <w:right w:val="single" w:sz="4" w:space="0" w:color="FFFFFF" w:themeColor="background1"/>
                            </w:tcBorders>
                          </w:tcPr>
                          <w:p w14:paraId="17F1EF17" w14:textId="77777777" w:rsidR="004F598E" w:rsidRPr="009F0F1A" w:rsidRDefault="004F598E" w:rsidP="003750B8">
                            <w:pPr>
                              <w:rPr>
                                <w:rFonts w:ascii="Calibri" w:hAnsi="Calibri" w:cs="Calibri"/>
                                <w:sz w:val="10"/>
                              </w:rPr>
                            </w:pPr>
                          </w:p>
                        </w:tc>
                      </w:tr>
                      <w:tr w:rsidR="004F598E" w14:paraId="54B32DF9" w14:textId="77777777" w:rsidTr="003F5138">
                        <w:tc>
                          <w:tcPr>
                            <w:tcW w:w="8080" w:type="dxa"/>
                            <w:tcBorders>
                              <w:top w:val="single" w:sz="4" w:space="0" w:color="auto"/>
                            </w:tcBorders>
                            <w:shd w:val="clear" w:color="auto" w:fill="C5E0B3" w:themeFill="accent6" w:themeFillTint="66"/>
                          </w:tcPr>
                          <w:p w14:paraId="0AC8CED3" w14:textId="2AB09FB8" w:rsidR="004F598E" w:rsidRDefault="004F598E" w:rsidP="003750B8">
                            <w:pPr>
                              <w:rPr>
                                <w:rFonts w:ascii="Calibri" w:hAnsi="Calibri" w:cs="Calibri"/>
                              </w:rPr>
                            </w:pPr>
                            <w:r>
                              <w:rPr>
                                <w:rFonts w:ascii="Calibri" w:hAnsi="Calibri" w:cs="Calibri"/>
                                <w:b/>
                              </w:rPr>
                              <w:t>SEND</w:t>
                            </w:r>
                          </w:p>
                        </w:tc>
                      </w:tr>
                      <w:tr w:rsidR="004F598E" w14:paraId="7D8D2425" w14:textId="77777777" w:rsidTr="003F5138">
                        <w:tc>
                          <w:tcPr>
                            <w:tcW w:w="8080" w:type="dxa"/>
                          </w:tcPr>
                          <w:p w14:paraId="35F9D22B" w14:textId="77777777" w:rsidR="004F598E" w:rsidRPr="009F0F1A" w:rsidRDefault="009F0F1A" w:rsidP="003750B8">
                            <w:pPr>
                              <w:rPr>
                                <w:rFonts w:ascii="Calibri" w:hAnsi="Calibri" w:cs="Calibri"/>
                                <w:sz w:val="21"/>
                                <w:szCs w:val="21"/>
                              </w:rPr>
                            </w:pPr>
                            <w:r w:rsidRPr="009F0F1A">
                              <w:rPr>
                                <w:rFonts w:ascii="Calibri" w:hAnsi="Calibri" w:cs="Calibri"/>
                                <w:sz w:val="21"/>
                                <w:szCs w:val="21"/>
                              </w:rPr>
                              <w:t xml:space="preserve">SEND children are well supported in lessons to access learning that is in line with the rest of the class, but at the correct stage for their needs. Assessment underpins this. Doodle Maths and </w:t>
                            </w:r>
                            <w:proofErr w:type="spellStart"/>
                            <w:r w:rsidRPr="009F0F1A">
                              <w:rPr>
                                <w:rFonts w:ascii="Calibri" w:hAnsi="Calibri" w:cs="Calibri"/>
                                <w:sz w:val="21"/>
                                <w:szCs w:val="21"/>
                              </w:rPr>
                              <w:t>NumBots</w:t>
                            </w:r>
                            <w:proofErr w:type="spellEnd"/>
                            <w:r w:rsidRPr="009F0F1A">
                              <w:rPr>
                                <w:rFonts w:ascii="Calibri" w:hAnsi="Calibri" w:cs="Calibri"/>
                                <w:sz w:val="21"/>
                                <w:szCs w:val="21"/>
                              </w:rPr>
                              <w:t xml:space="preserve"> are used at SEND interventions for target children. </w:t>
                            </w:r>
                          </w:p>
                          <w:p w14:paraId="0D61D74C" w14:textId="607DC65D" w:rsidR="009F0F1A" w:rsidRDefault="009F0F1A" w:rsidP="003750B8">
                            <w:pPr>
                              <w:rPr>
                                <w:rFonts w:ascii="Calibri" w:hAnsi="Calibri" w:cs="Calibri"/>
                              </w:rPr>
                            </w:pPr>
                            <w:r w:rsidRPr="009F0F1A">
                              <w:rPr>
                                <w:rFonts w:ascii="Calibri" w:hAnsi="Calibri" w:cs="Calibri"/>
                                <w:sz w:val="21"/>
                                <w:szCs w:val="21"/>
                              </w:rPr>
                              <w:t>SEND teaching assistants work closely with class teachers to ensure that learning meets the needs of the children. Maths interventions and next steps are planned in to SEND one-page profile meetings.</w:t>
                            </w:r>
                            <w:r>
                              <w:rPr>
                                <w:rFonts w:ascii="Calibri" w:hAnsi="Calibri" w:cs="Calibri"/>
                              </w:rPr>
                              <w:t xml:space="preserve"> </w:t>
                            </w:r>
                          </w:p>
                        </w:tc>
                      </w:tr>
                    </w:tbl>
                    <w:p w14:paraId="53D42345" w14:textId="77777777" w:rsidR="003750B8" w:rsidRDefault="003750B8" w:rsidP="003750B8"/>
                  </w:txbxContent>
                </v:textbox>
                <w10:wrap type="square"/>
              </v:shape>
            </w:pict>
          </mc:Fallback>
        </mc:AlternateContent>
      </w:r>
      <w:r w:rsidR="00915B9F" w:rsidRPr="00E71B59">
        <w:rPr>
          <w:rFonts w:ascii="Calibri" w:hAnsi="Calibri" w:cs="Calibri"/>
          <w:b/>
        </w:rPr>
        <w:t xml:space="preserve"> </w:t>
      </w:r>
    </w:p>
    <w:tbl>
      <w:tblPr>
        <w:tblStyle w:val="TableGrid"/>
        <w:tblpPr w:leftFromText="180" w:rightFromText="180" w:vertAnchor="page" w:horzAnchor="margin" w:tblpXSpec="right" w:tblpY="6685"/>
        <w:tblW w:w="6810" w:type="dxa"/>
        <w:tblLook w:val="04A0" w:firstRow="1" w:lastRow="0" w:firstColumn="1" w:lastColumn="0" w:noHBand="0" w:noVBand="1"/>
      </w:tblPr>
      <w:tblGrid>
        <w:gridCol w:w="6810"/>
      </w:tblGrid>
      <w:tr w:rsidR="009F0F1A" w14:paraId="43CAC3D4" w14:textId="77777777" w:rsidTr="00E06413">
        <w:tc>
          <w:tcPr>
            <w:tcW w:w="6810" w:type="dxa"/>
            <w:shd w:val="clear" w:color="auto" w:fill="C5E0B3" w:themeFill="accent6" w:themeFillTint="66"/>
          </w:tcPr>
          <w:p w14:paraId="7629FC8E" w14:textId="77777777" w:rsidR="009F0F1A" w:rsidRDefault="009F0F1A" w:rsidP="009F0F1A">
            <w:pPr>
              <w:rPr>
                <w:rFonts w:ascii="Calibri" w:hAnsi="Calibri" w:cs="Calibri"/>
                <w:b/>
              </w:rPr>
            </w:pPr>
            <w:r>
              <w:rPr>
                <w:rFonts w:ascii="Calibri" w:hAnsi="Calibri" w:cs="Calibri"/>
                <w:b/>
              </w:rPr>
              <w:t>Early Years Foundation Stage</w:t>
            </w:r>
          </w:p>
        </w:tc>
      </w:tr>
      <w:tr w:rsidR="009F0F1A" w14:paraId="03969D82" w14:textId="77777777" w:rsidTr="00E06413">
        <w:tc>
          <w:tcPr>
            <w:tcW w:w="6810" w:type="dxa"/>
            <w:shd w:val="clear" w:color="auto" w:fill="FFFFFF" w:themeFill="background1"/>
          </w:tcPr>
          <w:p w14:paraId="54C779C0" w14:textId="7DAC383F" w:rsidR="009F0F1A" w:rsidRPr="009F0F1A" w:rsidRDefault="009F0F1A" w:rsidP="009F0F1A">
            <w:pPr>
              <w:rPr>
                <w:rFonts w:ascii="Calibri" w:hAnsi="Calibri" w:cs="Calibri"/>
              </w:rPr>
            </w:pPr>
            <w:r w:rsidRPr="009F0F1A">
              <w:rPr>
                <w:rFonts w:ascii="Calibri" w:hAnsi="Calibri" w:cs="Calibri"/>
                <w:sz w:val="21"/>
                <w:szCs w:val="21"/>
              </w:rPr>
              <w:t>The children in EYFS follow the Mastering Number programme. In their continuous provision, children are exposed to lots of different areas of maths including in real world examples.</w:t>
            </w:r>
            <w:r>
              <w:rPr>
                <w:rFonts w:ascii="Calibri" w:hAnsi="Calibri" w:cs="Calibri"/>
              </w:rPr>
              <w:t xml:space="preserve"> </w:t>
            </w:r>
          </w:p>
        </w:tc>
      </w:tr>
      <w:tr w:rsidR="009F0F1A" w14:paraId="6526EB6B" w14:textId="77777777" w:rsidTr="00E06413">
        <w:tc>
          <w:tcPr>
            <w:tcW w:w="6810" w:type="dxa"/>
            <w:tcBorders>
              <w:left w:val="single" w:sz="4" w:space="0" w:color="FFFFFF"/>
              <w:right w:val="single" w:sz="4" w:space="0" w:color="FFFFFF"/>
            </w:tcBorders>
            <w:shd w:val="clear" w:color="auto" w:fill="FFFFFF" w:themeFill="background1"/>
          </w:tcPr>
          <w:p w14:paraId="44254723" w14:textId="77777777" w:rsidR="009F0F1A" w:rsidRDefault="009F0F1A" w:rsidP="009F0F1A">
            <w:pPr>
              <w:rPr>
                <w:rFonts w:ascii="Calibri" w:hAnsi="Calibri" w:cs="Calibri"/>
                <w:b/>
              </w:rPr>
            </w:pPr>
          </w:p>
        </w:tc>
      </w:tr>
      <w:tr w:rsidR="009F0F1A" w14:paraId="3F307BE3" w14:textId="77777777" w:rsidTr="00E06413">
        <w:tc>
          <w:tcPr>
            <w:tcW w:w="6810" w:type="dxa"/>
            <w:shd w:val="clear" w:color="auto" w:fill="C5E0B3" w:themeFill="accent6" w:themeFillTint="66"/>
          </w:tcPr>
          <w:p w14:paraId="212262AE" w14:textId="77777777" w:rsidR="009F0F1A" w:rsidRDefault="009F0F1A" w:rsidP="009F0F1A">
            <w:pPr>
              <w:rPr>
                <w:rFonts w:ascii="Calibri" w:hAnsi="Calibri" w:cs="Calibri"/>
                <w:b/>
              </w:rPr>
            </w:pPr>
            <w:r>
              <w:rPr>
                <w:rFonts w:ascii="Calibri" w:hAnsi="Calibri" w:cs="Calibri"/>
                <w:b/>
              </w:rPr>
              <w:t>Assessment</w:t>
            </w:r>
          </w:p>
        </w:tc>
      </w:tr>
      <w:tr w:rsidR="009F0F1A" w14:paraId="1B5A8D60" w14:textId="77777777" w:rsidTr="00E06413">
        <w:tc>
          <w:tcPr>
            <w:tcW w:w="6810" w:type="dxa"/>
            <w:tcBorders>
              <w:bottom w:val="single" w:sz="4" w:space="0" w:color="auto"/>
            </w:tcBorders>
          </w:tcPr>
          <w:p w14:paraId="420D82AA" w14:textId="2721374F" w:rsidR="009F0F1A" w:rsidRPr="003F5138" w:rsidRDefault="009F0F1A" w:rsidP="009F0F1A">
            <w:pPr>
              <w:rPr>
                <w:rFonts w:ascii="Calibri" w:hAnsi="Calibri" w:cs="Calibri"/>
              </w:rPr>
            </w:pPr>
            <w:r w:rsidRPr="009F0F1A">
              <w:rPr>
                <w:rFonts w:ascii="Calibri" w:hAnsi="Calibri" w:cs="Calibri"/>
                <w:sz w:val="21"/>
                <w:szCs w:val="21"/>
              </w:rPr>
              <w:t>Maths progress is formally assessed three times per year, with the use of Rising Stars assessments. Small step progress is assessed throughout, and after every lesson, to ensure that all children are making progress.</w:t>
            </w:r>
            <w:r>
              <w:rPr>
                <w:rFonts w:ascii="Calibri" w:hAnsi="Calibri" w:cs="Calibri"/>
              </w:rPr>
              <w:t xml:space="preserve">  </w:t>
            </w:r>
          </w:p>
        </w:tc>
      </w:tr>
      <w:tr w:rsidR="009F0F1A" w14:paraId="01CB7156" w14:textId="77777777" w:rsidTr="00E06413">
        <w:tc>
          <w:tcPr>
            <w:tcW w:w="6810" w:type="dxa"/>
            <w:tcBorders>
              <w:left w:val="single" w:sz="4" w:space="0" w:color="FFFFFF" w:themeColor="background1"/>
              <w:bottom w:val="single" w:sz="4" w:space="0" w:color="auto"/>
              <w:right w:val="single" w:sz="4" w:space="0" w:color="FFFFFF" w:themeColor="background1"/>
            </w:tcBorders>
          </w:tcPr>
          <w:p w14:paraId="7BEE58A3" w14:textId="77777777" w:rsidR="009F0F1A" w:rsidRDefault="009F0F1A" w:rsidP="009F0F1A">
            <w:pPr>
              <w:rPr>
                <w:rFonts w:ascii="Calibri" w:hAnsi="Calibri" w:cs="Calibri"/>
              </w:rPr>
            </w:pPr>
          </w:p>
        </w:tc>
      </w:tr>
      <w:tr w:rsidR="009F0F1A" w14:paraId="27FDB13F" w14:textId="77777777" w:rsidTr="00E06413">
        <w:tc>
          <w:tcPr>
            <w:tcW w:w="6810" w:type="dxa"/>
            <w:tcBorders>
              <w:top w:val="single" w:sz="4" w:space="0" w:color="auto"/>
            </w:tcBorders>
            <w:shd w:val="clear" w:color="auto" w:fill="C5E0B3" w:themeFill="accent6" w:themeFillTint="66"/>
          </w:tcPr>
          <w:p w14:paraId="74C79721" w14:textId="77777777" w:rsidR="009F0F1A" w:rsidRDefault="009F0F1A" w:rsidP="009F0F1A">
            <w:pPr>
              <w:rPr>
                <w:rFonts w:ascii="Calibri" w:hAnsi="Calibri" w:cs="Calibri"/>
              </w:rPr>
            </w:pPr>
            <w:r>
              <w:rPr>
                <w:rFonts w:ascii="Calibri" w:hAnsi="Calibri" w:cs="Calibri"/>
                <w:b/>
              </w:rPr>
              <w:t>CPD</w:t>
            </w:r>
          </w:p>
        </w:tc>
      </w:tr>
      <w:tr w:rsidR="009F0F1A" w14:paraId="0003E44D" w14:textId="77777777" w:rsidTr="00E06413">
        <w:tc>
          <w:tcPr>
            <w:tcW w:w="6810" w:type="dxa"/>
          </w:tcPr>
          <w:p w14:paraId="4A8589CA" w14:textId="13E6D780" w:rsidR="009F0F1A" w:rsidRDefault="009F0F1A" w:rsidP="009F0F1A">
            <w:pPr>
              <w:rPr>
                <w:rFonts w:ascii="Calibri" w:hAnsi="Calibri" w:cs="Calibri"/>
              </w:rPr>
            </w:pPr>
            <w:r w:rsidRPr="009F0F1A">
              <w:rPr>
                <w:rFonts w:ascii="Calibri" w:hAnsi="Calibri" w:cs="Calibri"/>
                <w:sz w:val="21"/>
                <w:szCs w:val="21"/>
              </w:rPr>
              <w:t xml:space="preserve">Staff completed a lot of CPD during the implementation of the new scheme which is now well embedded. Staff are able to access CPD for any developing need through our White Rose Maths subscription. We have registered our interest to join the Maths Hub for the 2024/2025 </w:t>
            </w:r>
            <w:r w:rsidR="00E06413" w:rsidRPr="009F0F1A">
              <w:rPr>
                <w:rFonts w:ascii="Calibri" w:hAnsi="Calibri" w:cs="Calibri"/>
                <w:sz w:val="21"/>
                <w:szCs w:val="21"/>
              </w:rPr>
              <w:t>academic</w:t>
            </w:r>
            <w:r w:rsidRPr="009F0F1A">
              <w:rPr>
                <w:rFonts w:ascii="Calibri" w:hAnsi="Calibri" w:cs="Calibri"/>
                <w:sz w:val="21"/>
                <w:szCs w:val="21"/>
              </w:rPr>
              <w:t xml:space="preserve"> year.</w:t>
            </w:r>
            <w:r>
              <w:rPr>
                <w:rFonts w:ascii="Calibri" w:hAnsi="Calibri" w:cs="Calibri"/>
              </w:rPr>
              <w:t xml:space="preserve">  </w:t>
            </w:r>
          </w:p>
        </w:tc>
      </w:tr>
    </w:tbl>
    <w:p w14:paraId="1EA9F862" w14:textId="5598FBC7" w:rsidR="00BE34CA" w:rsidRPr="00E71B59" w:rsidRDefault="00BE34CA" w:rsidP="00E06413">
      <w:pPr>
        <w:rPr>
          <w:rFonts w:ascii="Calibri" w:hAnsi="Calibri" w:cs="Calibri"/>
          <w:b/>
        </w:rPr>
      </w:pPr>
    </w:p>
    <w:sectPr w:rsidR="00BE34CA" w:rsidRPr="00E71B59" w:rsidSect="00060321">
      <w:head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FC7A" w14:textId="77777777" w:rsidR="00A87DCC" w:rsidRDefault="00A87DCC" w:rsidP="0022764F">
      <w:pPr>
        <w:spacing w:after="0" w:line="240" w:lineRule="auto"/>
      </w:pPr>
      <w:r>
        <w:separator/>
      </w:r>
    </w:p>
  </w:endnote>
  <w:endnote w:type="continuationSeparator" w:id="0">
    <w:p w14:paraId="7736DBC0" w14:textId="77777777" w:rsidR="00A87DCC" w:rsidRDefault="00A87DCC" w:rsidP="0022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C48A" w14:textId="77777777" w:rsidR="00A87DCC" w:rsidRDefault="00A87DCC" w:rsidP="0022764F">
      <w:pPr>
        <w:spacing w:after="0" w:line="240" w:lineRule="auto"/>
      </w:pPr>
      <w:r>
        <w:separator/>
      </w:r>
    </w:p>
  </w:footnote>
  <w:footnote w:type="continuationSeparator" w:id="0">
    <w:p w14:paraId="040C346C" w14:textId="77777777" w:rsidR="00A87DCC" w:rsidRDefault="00A87DCC" w:rsidP="0022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06A" w14:textId="51B41F20" w:rsidR="00114C00" w:rsidRPr="007C7EE4" w:rsidRDefault="00114C00" w:rsidP="00114C00">
    <w:pPr>
      <w:spacing w:before="100" w:beforeAutospacing="1" w:after="100" w:afterAutospacing="1" w:line="240" w:lineRule="auto"/>
      <w:rPr>
        <w:rFonts w:ascii="Times New Roman" w:eastAsia="Times New Roman" w:hAnsi="Times New Roman" w:cs="Times New Roman"/>
        <w:sz w:val="24"/>
        <w:szCs w:val="24"/>
        <w:lang w:eastAsia="en-GB"/>
      </w:rPr>
    </w:pPr>
    <w:r w:rsidRPr="007C7EE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9A0A3A3" wp14:editId="2219ED3A">
          <wp:simplePos x="0" y="0"/>
          <wp:positionH relativeFrom="column">
            <wp:posOffset>342900</wp:posOffset>
          </wp:positionH>
          <wp:positionV relativeFrom="paragraph">
            <wp:posOffset>-55880</wp:posOffset>
          </wp:positionV>
          <wp:extent cx="1028700" cy="717550"/>
          <wp:effectExtent l="0" t="0" r="0" b="6350"/>
          <wp:wrapNone/>
          <wp:docPr id="1" name="Picture 1" descr="\\highfielddc01\Redirection$\Staff\mike.bywaters\Downloads\original-90E199FA-826A-4719-B0FE-FF3A043441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fielddc01\Redirection$\Staff\mike.bywaters\Downloads\original-90E199FA-826A-4719-B0FE-FF3A043441A5.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2345" b="17902"/>
                  <a:stretch/>
                </pic:blipFill>
                <pic:spPr bwMode="auto">
                  <a:xfrm>
                    <a:off x="0" y="0"/>
                    <a:ext cx="1028700"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B93BA" w14:textId="738C163C" w:rsidR="0022764F" w:rsidRPr="000E4984" w:rsidRDefault="00060321" w:rsidP="0022764F">
    <w:pPr>
      <w:pStyle w:val="Header"/>
      <w:jc w:val="center"/>
      <w:rPr>
        <w:rFonts w:ascii="Century Gothic" w:hAnsi="Century Gothic"/>
        <w:b/>
        <w:sz w:val="40"/>
        <w:szCs w:val="20"/>
      </w:rPr>
    </w:pPr>
    <w:r w:rsidRPr="007C7EE4">
      <w:rPr>
        <w:rFonts w:ascii="Century Gothic" w:hAnsi="Century Gothic"/>
        <w:b/>
        <w:sz w:val="40"/>
        <w:szCs w:val="20"/>
      </w:rPr>
      <w:t>Highfield Hall</w:t>
    </w:r>
    <w:r w:rsidR="003C0388" w:rsidRPr="007C7EE4">
      <w:rPr>
        <w:rFonts w:ascii="Century Gothic" w:hAnsi="Century Gothic"/>
        <w:b/>
        <w:sz w:val="40"/>
        <w:szCs w:val="20"/>
      </w:rPr>
      <w:t xml:space="preserve"> </w:t>
    </w:r>
    <w:r w:rsidR="00DC2F93" w:rsidRPr="007C7EE4">
      <w:rPr>
        <w:rFonts w:ascii="Century Gothic" w:hAnsi="Century Gothic"/>
        <w:b/>
        <w:sz w:val="40"/>
        <w:szCs w:val="20"/>
      </w:rPr>
      <w:t>Primary</w:t>
    </w:r>
    <w:r w:rsidR="0022764F" w:rsidRPr="007C7EE4">
      <w:rPr>
        <w:rFonts w:ascii="Century Gothic" w:hAnsi="Century Gothic"/>
        <w:b/>
        <w:sz w:val="40"/>
        <w:szCs w:val="20"/>
      </w:rPr>
      <w:t xml:space="preserve"> S</w:t>
    </w:r>
    <w:r w:rsidR="00DC2F93" w:rsidRPr="007C7EE4">
      <w:rPr>
        <w:rFonts w:ascii="Century Gothic" w:hAnsi="Century Gothic"/>
        <w:b/>
        <w:sz w:val="40"/>
        <w:szCs w:val="20"/>
      </w:rPr>
      <w:t>chool</w:t>
    </w:r>
    <w:r w:rsidR="000E4984" w:rsidRPr="007C7EE4">
      <w:rPr>
        <w:rFonts w:ascii="Century Gothic" w:hAnsi="Century Gothic"/>
        <w:b/>
        <w:sz w:val="40"/>
        <w:szCs w:val="20"/>
      </w:rPr>
      <w:t xml:space="preserve"> </w:t>
    </w:r>
    <w:r w:rsidR="007C7EE4" w:rsidRPr="007C7EE4">
      <w:rPr>
        <w:rFonts w:ascii="Century Gothic" w:hAnsi="Century Gothic"/>
        <w:b/>
        <w:sz w:val="40"/>
        <w:szCs w:val="20"/>
      </w:rPr>
      <w:t>MATHS</w:t>
    </w:r>
    <w:r w:rsidR="0022764F" w:rsidRPr="007C7EE4">
      <w:rPr>
        <w:rFonts w:ascii="Century Gothic" w:hAnsi="Century Gothic"/>
        <w:b/>
        <w:sz w:val="40"/>
        <w:szCs w:val="20"/>
      </w:rPr>
      <w:t xml:space="preserve"> ON A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362"/>
    <w:multiLevelType w:val="hybridMultilevel"/>
    <w:tmpl w:val="688E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41AB6"/>
    <w:multiLevelType w:val="hybridMultilevel"/>
    <w:tmpl w:val="DBB6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72999"/>
    <w:multiLevelType w:val="hybridMultilevel"/>
    <w:tmpl w:val="197A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34AA"/>
    <w:multiLevelType w:val="hybridMultilevel"/>
    <w:tmpl w:val="47841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54C68"/>
    <w:multiLevelType w:val="hybridMultilevel"/>
    <w:tmpl w:val="F128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84F99"/>
    <w:multiLevelType w:val="hybridMultilevel"/>
    <w:tmpl w:val="B438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60026B"/>
    <w:multiLevelType w:val="hybridMultilevel"/>
    <w:tmpl w:val="BFA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80B10"/>
    <w:multiLevelType w:val="hybridMultilevel"/>
    <w:tmpl w:val="145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CD50FFD"/>
    <w:multiLevelType w:val="hybridMultilevel"/>
    <w:tmpl w:val="1EB2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14DCB"/>
    <w:multiLevelType w:val="hybridMultilevel"/>
    <w:tmpl w:val="758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9E8"/>
    <w:multiLevelType w:val="hybridMultilevel"/>
    <w:tmpl w:val="19DEB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125ACA"/>
    <w:multiLevelType w:val="hybridMultilevel"/>
    <w:tmpl w:val="9CB0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6120A1"/>
    <w:multiLevelType w:val="hybridMultilevel"/>
    <w:tmpl w:val="0F9C15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9700B"/>
    <w:multiLevelType w:val="hybridMultilevel"/>
    <w:tmpl w:val="710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553953"/>
    <w:multiLevelType w:val="hybridMultilevel"/>
    <w:tmpl w:val="CC3A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D73DC7"/>
    <w:multiLevelType w:val="hybridMultilevel"/>
    <w:tmpl w:val="7366A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F776E6"/>
    <w:multiLevelType w:val="hybridMultilevel"/>
    <w:tmpl w:val="6DE0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47BAA"/>
    <w:multiLevelType w:val="hybridMultilevel"/>
    <w:tmpl w:val="52C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44EF0"/>
    <w:multiLevelType w:val="hybridMultilevel"/>
    <w:tmpl w:val="29C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29DE"/>
    <w:multiLevelType w:val="hybridMultilevel"/>
    <w:tmpl w:val="C308A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24A6E"/>
    <w:multiLevelType w:val="hybridMultilevel"/>
    <w:tmpl w:val="2C5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7"/>
  </w:num>
  <w:num w:numId="4">
    <w:abstractNumId w:val="17"/>
  </w:num>
  <w:num w:numId="5">
    <w:abstractNumId w:val="4"/>
  </w:num>
  <w:num w:numId="6">
    <w:abstractNumId w:val="2"/>
  </w:num>
  <w:num w:numId="7">
    <w:abstractNumId w:val="12"/>
  </w:num>
  <w:num w:numId="8">
    <w:abstractNumId w:val="16"/>
  </w:num>
  <w:num w:numId="9">
    <w:abstractNumId w:val="11"/>
  </w:num>
  <w:num w:numId="10">
    <w:abstractNumId w:val="8"/>
  </w:num>
  <w:num w:numId="11">
    <w:abstractNumId w:val="1"/>
  </w:num>
  <w:num w:numId="12">
    <w:abstractNumId w:val="10"/>
  </w:num>
  <w:num w:numId="13">
    <w:abstractNumId w:val="5"/>
  </w:num>
  <w:num w:numId="14">
    <w:abstractNumId w:val="13"/>
  </w:num>
  <w:num w:numId="15">
    <w:abstractNumId w:val="14"/>
  </w:num>
  <w:num w:numId="16">
    <w:abstractNumId w:val="15"/>
  </w:num>
  <w:num w:numId="17">
    <w:abstractNumId w:val="0"/>
  </w:num>
  <w:num w:numId="18">
    <w:abstractNumId w:val="9"/>
  </w:num>
  <w:num w:numId="19">
    <w:abstractNumId w:val="3"/>
  </w:num>
  <w:num w:numId="20">
    <w:abstractNumId w:val="2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D3"/>
    <w:rsid w:val="00005F4C"/>
    <w:rsid w:val="0000703E"/>
    <w:rsid w:val="00060321"/>
    <w:rsid w:val="000751AC"/>
    <w:rsid w:val="00092F92"/>
    <w:rsid w:val="000E4984"/>
    <w:rsid w:val="001009CA"/>
    <w:rsid w:val="00114C00"/>
    <w:rsid w:val="001904A5"/>
    <w:rsid w:val="001C218D"/>
    <w:rsid w:val="001D4064"/>
    <w:rsid w:val="001F4750"/>
    <w:rsid w:val="002138E4"/>
    <w:rsid w:val="0022764F"/>
    <w:rsid w:val="00232DA7"/>
    <w:rsid w:val="002D0153"/>
    <w:rsid w:val="002D3345"/>
    <w:rsid w:val="002D4005"/>
    <w:rsid w:val="00353B9D"/>
    <w:rsid w:val="003750B8"/>
    <w:rsid w:val="003A0A77"/>
    <w:rsid w:val="003C0388"/>
    <w:rsid w:val="003C52EF"/>
    <w:rsid w:val="003D0D45"/>
    <w:rsid w:val="003E6001"/>
    <w:rsid w:val="003F5138"/>
    <w:rsid w:val="003F5D2C"/>
    <w:rsid w:val="00420722"/>
    <w:rsid w:val="00423F50"/>
    <w:rsid w:val="00445893"/>
    <w:rsid w:val="00476801"/>
    <w:rsid w:val="00493D8A"/>
    <w:rsid w:val="004E172D"/>
    <w:rsid w:val="004F598E"/>
    <w:rsid w:val="00512B41"/>
    <w:rsid w:val="005134BE"/>
    <w:rsid w:val="005215A0"/>
    <w:rsid w:val="00560110"/>
    <w:rsid w:val="0059287C"/>
    <w:rsid w:val="005A36FD"/>
    <w:rsid w:val="005A4A2C"/>
    <w:rsid w:val="006049CA"/>
    <w:rsid w:val="0060549A"/>
    <w:rsid w:val="00623C01"/>
    <w:rsid w:val="00627F6F"/>
    <w:rsid w:val="006521E3"/>
    <w:rsid w:val="00681D65"/>
    <w:rsid w:val="006A3A19"/>
    <w:rsid w:val="006C23D5"/>
    <w:rsid w:val="006F09B1"/>
    <w:rsid w:val="007174CC"/>
    <w:rsid w:val="007828E2"/>
    <w:rsid w:val="00784933"/>
    <w:rsid w:val="00796142"/>
    <w:rsid w:val="007C7EE4"/>
    <w:rsid w:val="007F3638"/>
    <w:rsid w:val="007F42DB"/>
    <w:rsid w:val="0082549A"/>
    <w:rsid w:val="00825C9A"/>
    <w:rsid w:val="00875F56"/>
    <w:rsid w:val="00885273"/>
    <w:rsid w:val="00894FFC"/>
    <w:rsid w:val="008D6146"/>
    <w:rsid w:val="0091446D"/>
    <w:rsid w:val="00915B9F"/>
    <w:rsid w:val="009341CC"/>
    <w:rsid w:val="009347FD"/>
    <w:rsid w:val="00937881"/>
    <w:rsid w:val="00957240"/>
    <w:rsid w:val="009723FD"/>
    <w:rsid w:val="009D0231"/>
    <w:rsid w:val="009D26A2"/>
    <w:rsid w:val="009F0F1A"/>
    <w:rsid w:val="00A0514A"/>
    <w:rsid w:val="00A572BA"/>
    <w:rsid w:val="00A72E2F"/>
    <w:rsid w:val="00A810E8"/>
    <w:rsid w:val="00A87DCC"/>
    <w:rsid w:val="00AF404F"/>
    <w:rsid w:val="00B605A1"/>
    <w:rsid w:val="00BC03B8"/>
    <w:rsid w:val="00BE34CA"/>
    <w:rsid w:val="00C01C58"/>
    <w:rsid w:val="00C03138"/>
    <w:rsid w:val="00C066F5"/>
    <w:rsid w:val="00C1022B"/>
    <w:rsid w:val="00C535A8"/>
    <w:rsid w:val="00CA2183"/>
    <w:rsid w:val="00CB1A14"/>
    <w:rsid w:val="00CC7AE0"/>
    <w:rsid w:val="00CE32CC"/>
    <w:rsid w:val="00D25837"/>
    <w:rsid w:val="00D5425E"/>
    <w:rsid w:val="00DA5CBF"/>
    <w:rsid w:val="00DC2F93"/>
    <w:rsid w:val="00DC4375"/>
    <w:rsid w:val="00E01DF0"/>
    <w:rsid w:val="00E06413"/>
    <w:rsid w:val="00E12D72"/>
    <w:rsid w:val="00E27A95"/>
    <w:rsid w:val="00E27AA9"/>
    <w:rsid w:val="00E413D3"/>
    <w:rsid w:val="00E41B0E"/>
    <w:rsid w:val="00E71B59"/>
    <w:rsid w:val="00E720FE"/>
    <w:rsid w:val="00E756D1"/>
    <w:rsid w:val="00EB56BF"/>
    <w:rsid w:val="00EB583F"/>
    <w:rsid w:val="00EB651D"/>
    <w:rsid w:val="00EC0D05"/>
    <w:rsid w:val="00ED3AB9"/>
    <w:rsid w:val="00EE2658"/>
    <w:rsid w:val="00F30B98"/>
    <w:rsid w:val="00F3683D"/>
    <w:rsid w:val="00F41B69"/>
    <w:rsid w:val="00F6619D"/>
    <w:rsid w:val="00F776B2"/>
    <w:rsid w:val="00FA2674"/>
    <w:rsid w:val="00FA5A6E"/>
    <w:rsid w:val="00FB47F4"/>
    <w:rsid w:val="00FB6362"/>
    <w:rsid w:val="00FF0E18"/>
    <w:rsid w:val="00FF37C5"/>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7DE73"/>
  <w15:chartTrackingRefBased/>
  <w15:docId w15:val="{16B79B45-5909-4D62-816E-322C1782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D3"/>
    <w:pPr>
      <w:ind w:left="720"/>
      <w:contextualSpacing/>
    </w:pPr>
  </w:style>
  <w:style w:type="paragraph" w:styleId="Header">
    <w:name w:val="header"/>
    <w:basedOn w:val="Normal"/>
    <w:link w:val="HeaderChar"/>
    <w:uiPriority w:val="99"/>
    <w:unhideWhenUsed/>
    <w:rsid w:val="0022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64F"/>
  </w:style>
  <w:style w:type="paragraph" w:styleId="Footer">
    <w:name w:val="footer"/>
    <w:basedOn w:val="Normal"/>
    <w:link w:val="FooterChar"/>
    <w:uiPriority w:val="99"/>
    <w:unhideWhenUsed/>
    <w:rsid w:val="0022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64F"/>
  </w:style>
  <w:style w:type="paragraph" w:styleId="BalloonText">
    <w:name w:val="Balloon Text"/>
    <w:basedOn w:val="Normal"/>
    <w:link w:val="BalloonTextChar"/>
    <w:uiPriority w:val="99"/>
    <w:semiHidden/>
    <w:unhideWhenUsed/>
    <w:rsid w:val="007F4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DB"/>
    <w:rPr>
      <w:rFonts w:ascii="Segoe UI" w:hAnsi="Segoe UI" w:cs="Segoe UI"/>
      <w:sz w:val="18"/>
      <w:szCs w:val="18"/>
    </w:rPr>
  </w:style>
  <w:style w:type="paragraph" w:styleId="NormalWeb">
    <w:name w:val="Normal (Web)"/>
    <w:basedOn w:val="Normal"/>
    <w:uiPriority w:val="99"/>
    <w:unhideWhenUsed/>
    <w:rsid w:val="00E71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9B1"/>
    <w:rPr>
      <w:color w:val="0563C1" w:themeColor="hyperlink"/>
      <w:u w:val="single"/>
    </w:rPr>
  </w:style>
  <w:style w:type="character" w:styleId="UnresolvedMention">
    <w:name w:val="Unresolved Mention"/>
    <w:basedOn w:val="DefaultParagraphFont"/>
    <w:uiPriority w:val="99"/>
    <w:semiHidden/>
    <w:unhideWhenUsed/>
    <w:rsid w:val="006F09B1"/>
    <w:rPr>
      <w:color w:val="605E5C"/>
      <w:shd w:val="clear" w:color="auto" w:fill="E1DFDD"/>
    </w:rPr>
  </w:style>
  <w:style w:type="table" w:styleId="TableGrid">
    <w:name w:val="Table Grid"/>
    <w:basedOn w:val="TableNormal"/>
    <w:uiPriority w:val="39"/>
    <w:rsid w:val="0097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860619">
      <w:bodyDiv w:val="1"/>
      <w:marLeft w:val="0"/>
      <w:marRight w:val="0"/>
      <w:marTop w:val="0"/>
      <w:marBottom w:val="0"/>
      <w:divBdr>
        <w:top w:val="none" w:sz="0" w:space="0" w:color="auto"/>
        <w:left w:val="none" w:sz="0" w:space="0" w:color="auto"/>
        <w:bottom w:val="none" w:sz="0" w:space="0" w:color="auto"/>
        <w:right w:val="none" w:sz="0" w:space="0" w:color="auto"/>
      </w:divBdr>
    </w:div>
    <w:div w:id="408311459">
      <w:bodyDiv w:val="1"/>
      <w:marLeft w:val="0"/>
      <w:marRight w:val="0"/>
      <w:marTop w:val="0"/>
      <w:marBottom w:val="0"/>
      <w:divBdr>
        <w:top w:val="none" w:sz="0" w:space="0" w:color="auto"/>
        <w:left w:val="none" w:sz="0" w:space="0" w:color="auto"/>
        <w:bottom w:val="none" w:sz="0" w:space="0" w:color="auto"/>
        <w:right w:val="none" w:sz="0" w:space="0" w:color="auto"/>
      </w:divBdr>
    </w:div>
    <w:div w:id="443119045">
      <w:bodyDiv w:val="1"/>
      <w:marLeft w:val="0"/>
      <w:marRight w:val="0"/>
      <w:marTop w:val="0"/>
      <w:marBottom w:val="0"/>
      <w:divBdr>
        <w:top w:val="none" w:sz="0" w:space="0" w:color="auto"/>
        <w:left w:val="none" w:sz="0" w:space="0" w:color="auto"/>
        <w:bottom w:val="none" w:sz="0" w:space="0" w:color="auto"/>
        <w:right w:val="none" w:sz="0" w:space="0" w:color="auto"/>
      </w:divBdr>
    </w:div>
    <w:div w:id="507520345">
      <w:bodyDiv w:val="1"/>
      <w:marLeft w:val="0"/>
      <w:marRight w:val="0"/>
      <w:marTop w:val="0"/>
      <w:marBottom w:val="0"/>
      <w:divBdr>
        <w:top w:val="none" w:sz="0" w:space="0" w:color="auto"/>
        <w:left w:val="none" w:sz="0" w:space="0" w:color="auto"/>
        <w:bottom w:val="none" w:sz="0" w:space="0" w:color="auto"/>
        <w:right w:val="none" w:sz="0" w:space="0" w:color="auto"/>
      </w:divBdr>
    </w:div>
    <w:div w:id="528372750">
      <w:bodyDiv w:val="1"/>
      <w:marLeft w:val="0"/>
      <w:marRight w:val="0"/>
      <w:marTop w:val="0"/>
      <w:marBottom w:val="0"/>
      <w:divBdr>
        <w:top w:val="none" w:sz="0" w:space="0" w:color="auto"/>
        <w:left w:val="none" w:sz="0" w:space="0" w:color="auto"/>
        <w:bottom w:val="none" w:sz="0" w:space="0" w:color="auto"/>
        <w:right w:val="none" w:sz="0" w:space="0" w:color="auto"/>
      </w:divBdr>
    </w:div>
    <w:div w:id="985858531">
      <w:bodyDiv w:val="1"/>
      <w:marLeft w:val="0"/>
      <w:marRight w:val="0"/>
      <w:marTop w:val="0"/>
      <w:marBottom w:val="0"/>
      <w:divBdr>
        <w:top w:val="none" w:sz="0" w:space="0" w:color="auto"/>
        <w:left w:val="none" w:sz="0" w:space="0" w:color="auto"/>
        <w:bottom w:val="none" w:sz="0" w:space="0" w:color="auto"/>
        <w:right w:val="none" w:sz="0" w:space="0" w:color="auto"/>
      </w:divBdr>
    </w:div>
    <w:div w:id="989140995">
      <w:bodyDiv w:val="1"/>
      <w:marLeft w:val="0"/>
      <w:marRight w:val="0"/>
      <w:marTop w:val="0"/>
      <w:marBottom w:val="0"/>
      <w:divBdr>
        <w:top w:val="none" w:sz="0" w:space="0" w:color="auto"/>
        <w:left w:val="none" w:sz="0" w:space="0" w:color="auto"/>
        <w:bottom w:val="none" w:sz="0" w:space="0" w:color="auto"/>
        <w:right w:val="none" w:sz="0" w:space="0" w:color="auto"/>
      </w:divBdr>
    </w:div>
    <w:div w:id="1028989609">
      <w:bodyDiv w:val="1"/>
      <w:marLeft w:val="0"/>
      <w:marRight w:val="0"/>
      <w:marTop w:val="0"/>
      <w:marBottom w:val="0"/>
      <w:divBdr>
        <w:top w:val="none" w:sz="0" w:space="0" w:color="auto"/>
        <w:left w:val="none" w:sz="0" w:space="0" w:color="auto"/>
        <w:bottom w:val="none" w:sz="0" w:space="0" w:color="auto"/>
        <w:right w:val="none" w:sz="0" w:space="0" w:color="auto"/>
      </w:divBdr>
    </w:div>
    <w:div w:id="15320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13BEA-3783-4D88-8FC7-3773D4BC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Jones</dc:creator>
  <cp:keywords/>
  <dc:description/>
  <cp:lastModifiedBy>Mike Bywaters</cp:lastModifiedBy>
  <cp:revision>2</cp:revision>
  <cp:lastPrinted>2024-01-15T08:21:00Z</cp:lastPrinted>
  <dcterms:created xsi:type="dcterms:W3CDTF">2024-01-30T14:05:00Z</dcterms:created>
  <dcterms:modified xsi:type="dcterms:W3CDTF">2024-01-30T14:05:00Z</dcterms:modified>
</cp:coreProperties>
</file>