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right" w:tblpY="1813"/>
        <w:tblW w:w="6810" w:type="dxa"/>
        <w:tblLook w:val="04A0" w:firstRow="1" w:lastRow="0" w:firstColumn="1" w:lastColumn="0" w:noHBand="0" w:noVBand="1"/>
      </w:tblPr>
      <w:tblGrid>
        <w:gridCol w:w="6810"/>
      </w:tblGrid>
      <w:tr w:rsidR="004A284A" w14:paraId="7D5B97C9" w14:textId="77777777" w:rsidTr="004A284A">
        <w:tc>
          <w:tcPr>
            <w:tcW w:w="6810" w:type="dxa"/>
            <w:shd w:val="clear" w:color="auto" w:fill="C5E0B3" w:themeFill="accent6" w:themeFillTint="66"/>
          </w:tcPr>
          <w:p w14:paraId="5903AEF3" w14:textId="7881E307" w:rsidR="004A284A" w:rsidRDefault="004A284A" w:rsidP="004A284A">
            <w:pPr>
              <w:rPr>
                <w:rFonts w:ascii="Calibri" w:hAnsi="Calibri" w:cs="Calibri"/>
                <w:b/>
              </w:rPr>
            </w:pPr>
            <w:r>
              <w:rPr>
                <w:rFonts w:ascii="Calibri" w:hAnsi="Calibri" w:cs="Calibri"/>
                <w:b/>
              </w:rPr>
              <w:t>Early Years Foundation Stage</w:t>
            </w:r>
          </w:p>
        </w:tc>
      </w:tr>
      <w:tr w:rsidR="004A284A" w14:paraId="131D6149" w14:textId="77777777" w:rsidTr="004A284A">
        <w:tc>
          <w:tcPr>
            <w:tcW w:w="6810" w:type="dxa"/>
            <w:shd w:val="clear" w:color="auto" w:fill="FFFFFF" w:themeFill="background1"/>
          </w:tcPr>
          <w:p w14:paraId="58E547B9" w14:textId="77777777" w:rsidR="004A284A" w:rsidRDefault="001013DE" w:rsidP="004A284A">
            <w:pPr>
              <w:rPr>
                <w:rFonts w:ascii="Calibri" w:hAnsi="Calibri" w:cs="Calibri"/>
              </w:rPr>
            </w:pPr>
            <w:proofErr w:type="spellStart"/>
            <w:r>
              <w:rPr>
                <w:rFonts w:ascii="Calibri" w:hAnsi="Calibri" w:cs="Calibri"/>
              </w:rPr>
              <w:t>myHappymind</w:t>
            </w:r>
            <w:proofErr w:type="spellEnd"/>
            <w:r>
              <w:rPr>
                <w:rFonts w:ascii="Calibri" w:hAnsi="Calibri" w:cs="Calibri"/>
              </w:rPr>
              <w:t xml:space="preserve"> in EYFS uses books to encourage talk and education around mental health. Each EYFS class has a collection of character teddies, conversation cards and posters to support teaching and learning. </w:t>
            </w:r>
          </w:p>
          <w:p w14:paraId="3DDAEF5C" w14:textId="3060F898" w:rsidR="001013DE" w:rsidRPr="009F0F1A" w:rsidRDefault="001013DE" w:rsidP="004A284A">
            <w:pPr>
              <w:rPr>
                <w:rFonts w:ascii="Calibri" w:hAnsi="Calibri" w:cs="Calibri"/>
              </w:rPr>
            </w:pPr>
            <w:r>
              <w:rPr>
                <w:rFonts w:ascii="Calibri" w:hAnsi="Calibri" w:cs="Calibri"/>
              </w:rPr>
              <w:t xml:space="preserve">EYFS staff filter mental health education in to their everyday teaching to develop these skills further. Children are able to use their free play time to practise and develop their knowledge and skills in different contexts. </w:t>
            </w:r>
          </w:p>
        </w:tc>
      </w:tr>
      <w:tr w:rsidR="004A284A" w14:paraId="063F0D19" w14:textId="77777777" w:rsidTr="004A284A">
        <w:tc>
          <w:tcPr>
            <w:tcW w:w="6810" w:type="dxa"/>
            <w:tcBorders>
              <w:left w:val="single" w:sz="4" w:space="0" w:color="FFFFFF"/>
              <w:right w:val="single" w:sz="4" w:space="0" w:color="FFFFFF"/>
            </w:tcBorders>
            <w:shd w:val="clear" w:color="auto" w:fill="FFFFFF" w:themeFill="background1"/>
          </w:tcPr>
          <w:p w14:paraId="6929DE39" w14:textId="77777777" w:rsidR="004A284A" w:rsidRPr="001013DE" w:rsidRDefault="004A284A" w:rsidP="004A284A">
            <w:pPr>
              <w:rPr>
                <w:rFonts w:ascii="Calibri" w:hAnsi="Calibri" w:cs="Calibri"/>
                <w:b/>
                <w:sz w:val="6"/>
              </w:rPr>
            </w:pPr>
          </w:p>
        </w:tc>
      </w:tr>
      <w:tr w:rsidR="004A284A" w14:paraId="07EB4115" w14:textId="77777777" w:rsidTr="004A284A">
        <w:tc>
          <w:tcPr>
            <w:tcW w:w="6810" w:type="dxa"/>
            <w:shd w:val="clear" w:color="auto" w:fill="C5E0B3" w:themeFill="accent6" w:themeFillTint="66"/>
          </w:tcPr>
          <w:p w14:paraId="3BE62A22" w14:textId="77777777" w:rsidR="004A284A" w:rsidRDefault="004A284A" w:rsidP="004A284A">
            <w:pPr>
              <w:rPr>
                <w:rFonts w:ascii="Calibri" w:hAnsi="Calibri" w:cs="Calibri"/>
                <w:b/>
              </w:rPr>
            </w:pPr>
            <w:r>
              <w:rPr>
                <w:rFonts w:ascii="Calibri" w:hAnsi="Calibri" w:cs="Calibri"/>
                <w:b/>
              </w:rPr>
              <w:t>Assessment</w:t>
            </w:r>
          </w:p>
        </w:tc>
      </w:tr>
      <w:tr w:rsidR="004A284A" w14:paraId="2FE6D98B" w14:textId="77777777" w:rsidTr="004A284A">
        <w:tc>
          <w:tcPr>
            <w:tcW w:w="6810" w:type="dxa"/>
            <w:tcBorders>
              <w:bottom w:val="single" w:sz="4" w:space="0" w:color="auto"/>
            </w:tcBorders>
          </w:tcPr>
          <w:p w14:paraId="1CE09365" w14:textId="77777777" w:rsidR="004A284A" w:rsidRDefault="001013DE" w:rsidP="004A284A">
            <w:pPr>
              <w:rPr>
                <w:rFonts w:ascii="Calibri" w:hAnsi="Calibri" w:cs="Calibri"/>
              </w:rPr>
            </w:pPr>
            <w:r>
              <w:rPr>
                <w:rFonts w:ascii="Calibri" w:hAnsi="Calibri" w:cs="Calibri"/>
              </w:rPr>
              <w:t xml:space="preserve">We do not formatively assess our mental health education. </w:t>
            </w:r>
            <w:proofErr w:type="gramStart"/>
            <w:r>
              <w:rPr>
                <w:rFonts w:ascii="Calibri" w:hAnsi="Calibri" w:cs="Calibri"/>
              </w:rPr>
              <w:t>However</w:t>
            </w:r>
            <w:proofErr w:type="gramEnd"/>
            <w:r>
              <w:rPr>
                <w:rFonts w:ascii="Calibri" w:hAnsi="Calibri" w:cs="Calibri"/>
              </w:rPr>
              <w:t xml:space="preserve"> we have clear systems in place for when children need additional mental health support. </w:t>
            </w:r>
          </w:p>
          <w:p w14:paraId="1C26DDA5" w14:textId="77777777" w:rsidR="001013DE" w:rsidRDefault="001013DE" w:rsidP="004A284A">
            <w:pPr>
              <w:rPr>
                <w:rFonts w:ascii="Calibri" w:hAnsi="Calibri" w:cs="Calibri"/>
              </w:rPr>
            </w:pPr>
            <w:r>
              <w:rPr>
                <w:rFonts w:ascii="Calibri" w:hAnsi="Calibri" w:cs="Calibri"/>
              </w:rPr>
              <w:t>This diagram identifies the different levels of support available to children in our school:</w:t>
            </w:r>
          </w:p>
          <w:p w14:paraId="672C773A" w14:textId="46BE70A1" w:rsidR="001013DE" w:rsidRPr="003F5138" w:rsidRDefault="005F7F89" w:rsidP="001013DE">
            <w:pPr>
              <w:jc w:val="center"/>
              <w:rPr>
                <w:rFonts w:ascii="Calibri" w:hAnsi="Calibri" w:cs="Calibri"/>
              </w:rPr>
            </w:pPr>
            <w:r w:rsidRPr="005F7F89">
              <w:rPr>
                <w:rFonts w:ascii="Calibri" w:hAnsi="Calibri" w:cs="Calibri"/>
                <w:noProof/>
              </w:rPr>
              <w:drawing>
                <wp:inline distT="0" distB="0" distL="0" distR="0" wp14:anchorId="12F3B7AB" wp14:editId="775D9A21">
                  <wp:extent cx="3870960" cy="281348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8213" cy="2826028"/>
                          </a:xfrm>
                          <a:prstGeom prst="rect">
                            <a:avLst/>
                          </a:prstGeom>
                        </pic:spPr>
                      </pic:pic>
                    </a:graphicData>
                  </a:graphic>
                </wp:inline>
              </w:drawing>
            </w:r>
          </w:p>
        </w:tc>
      </w:tr>
      <w:tr w:rsidR="004A284A" w14:paraId="640A552B" w14:textId="77777777" w:rsidTr="004A284A">
        <w:tc>
          <w:tcPr>
            <w:tcW w:w="6810" w:type="dxa"/>
            <w:tcBorders>
              <w:left w:val="single" w:sz="4" w:space="0" w:color="FFFFFF" w:themeColor="background1"/>
              <w:bottom w:val="single" w:sz="4" w:space="0" w:color="auto"/>
              <w:right w:val="single" w:sz="4" w:space="0" w:color="FFFFFF" w:themeColor="background1"/>
            </w:tcBorders>
          </w:tcPr>
          <w:p w14:paraId="46346B6F" w14:textId="77777777" w:rsidR="004A284A" w:rsidRPr="001013DE" w:rsidRDefault="004A284A" w:rsidP="004A284A">
            <w:pPr>
              <w:rPr>
                <w:rFonts w:ascii="Calibri" w:hAnsi="Calibri" w:cs="Calibri"/>
                <w:sz w:val="8"/>
              </w:rPr>
            </w:pPr>
          </w:p>
        </w:tc>
      </w:tr>
      <w:tr w:rsidR="004A284A" w14:paraId="67990B98" w14:textId="77777777" w:rsidTr="004A284A">
        <w:tc>
          <w:tcPr>
            <w:tcW w:w="6810" w:type="dxa"/>
            <w:tcBorders>
              <w:top w:val="single" w:sz="4" w:space="0" w:color="auto"/>
            </w:tcBorders>
            <w:shd w:val="clear" w:color="auto" w:fill="C5E0B3" w:themeFill="accent6" w:themeFillTint="66"/>
          </w:tcPr>
          <w:p w14:paraId="7B723646" w14:textId="77777777" w:rsidR="004A284A" w:rsidRDefault="004A284A" w:rsidP="004A284A">
            <w:pPr>
              <w:rPr>
                <w:rFonts w:ascii="Calibri" w:hAnsi="Calibri" w:cs="Calibri"/>
              </w:rPr>
            </w:pPr>
            <w:r>
              <w:rPr>
                <w:rFonts w:ascii="Calibri" w:hAnsi="Calibri" w:cs="Calibri"/>
                <w:b/>
              </w:rPr>
              <w:t>CPD</w:t>
            </w:r>
          </w:p>
        </w:tc>
      </w:tr>
      <w:tr w:rsidR="004A284A" w14:paraId="4F763456" w14:textId="77777777" w:rsidTr="004A284A">
        <w:tc>
          <w:tcPr>
            <w:tcW w:w="6810" w:type="dxa"/>
          </w:tcPr>
          <w:p w14:paraId="755EC345" w14:textId="609172A6" w:rsidR="004A284A" w:rsidRDefault="001013DE" w:rsidP="004A284A">
            <w:pPr>
              <w:rPr>
                <w:rFonts w:ascii="Calibri" w:hAnsi="Calibri" w:cs="Calibri"/>
              </w:rPr>
            </w:pPr>
            <w:r>
              <w:rPr>
                <w:rFonts w:ascii="Calibri" w:hAnsi="Calibri" w:cs="Calibri"/>
              </w:rPr>
              <w:t xml:space="preserve">The </w:t>
            </w:r>
            <w:proofErr w:type="spellStart"/>
            <w:r>
              <w:rPr>
                <w:rFonts w:ascii="Calibri" w:hAnsi="Calibri" w:cs="Calibri"/>
              </w:rPr>
              <w:t>myHappymind</w:t>
            </w:r>
            <w:proofErr w:type="spellEnd"/>
            <w:r>
              <w:rPr>
                <w:rFonts w:ascii="Calibri" w:hAnsi="Calibri" w:cs="Calibri"/>
              </w:rPr>
              <w:t xml:space="preserve"> programme includes CPD for staff at the start of each term. </w:t>
            </w:r>
          </w:p>
        </w:tc>
      </w:tr>
    </w:tbl>
    <w:p w14:paraId="1EA9F862" w14:textId="67810A5E" w:rsidR="00BE34CA" w:rsidRPr="00E71B59" w:rsidRDefault="00FB0AD2" w:rsidP="00E06413">
      <w:pPr>
        <w:rPr>
          <w:rFonts w:ascii="Calibri" w:hAnsi="Calibri" w:cs="Calibri"/>
          <w:b/>
        </w:rPr>
      </w:pPr>
      <w:r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1DE9DCA4">
                <wp:simplePos x="0" y="0"/>
                <wp:positionH relativeFrom="column">
                  <wp:posOffset>60960</wp:posOffset>
                </wp:positionH>
                <wp:positionV relativeFrom="paragraph">
                  <wp:posOffset>12065</wp:posOffset>
                </wp:positionV>
                <wp:extent cx="5334000" cy="59740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974080"/>
                        </a:xfrm>
                        <a:prstGeom prst="rect">
                          <a:avLst/>
                        </a:prstGeom>
                        <a:solidFill>
                          <a:srgbClr val="FFFFFF"/>
                        </a:solidFill>
                        <a:ln w="9525">
                          <a:noFill/>
                          <a:miter lim="800000"/>
                          <a:headEnd/>
                          <a:tailEnd/>
                        </a:ln>
                      </wps:spPr>
                      <wps:txbx>
                        <w:txbxContent>
                          <w:tbl>
                            <w:tblPr>
                              <w:tblStyle w:val="TableGrid"/>
                              <w:tblW w:w="8080" w:type="dxa"/>
                              <w:tblInd w:w="-5" w:type="dxa"/>
                              <w:tblLook w:val="04A0" w:firstRow="1" w:lastRow="0" w:firstColumn="1" w:lastColumn="0" w:noHBand="0" w:noVBand="1"/>
                            </w:tblPr>
                            <w:tblGrid>
                              <w:gridCol w:w="8080"/>
                            </w:tblGrid>
                            <w:tr w:rsidR="004F598E" w14:paraId="4E274F28" w14:textId="77777777" w:rsidTr="003F5138">
                              <w:tc>
                                <w:tcPr>
                                  <w:tcW w:w="8080" w:type="dxa"/>
                                  <w:shd w:val="clear" w:color="auto" w:fill="C5E0B3" w:themeFill="accent6" w:themeFillTint="66"/>
                                </w:tcPr>
                                <w:p w14:paraId="60C70568" w14:textId="38CFA8F6" w:rsidR="004F598E" w:rsidRDefault="004F598E" w:rsidP="003750B8">
                                  <w:pPr>
                                    <w:rPr>
                                      <w:rFonts w:ascii="Calibri" w:hAnsi="Calibri" w:cs="Calibri"/>
                                      <w:b/>
                                    </w:rPr>
                                  </w:pPr>
                                  <w:r>
                                    <w:rPr>
                                      <w:rFonts w:ascii="Calibri" w:hAnsi="Calibri" w:cs="Calibri"/>
                                      <w:b/>
                                    </w:rPr>
                                    <w:t>Curriculum Content</w:t>
                                  </w:r>
                                </w:p>
                              </w:tc>
                            </w:tr>
                            <w:tr w:rsidR="004F598E" w14:paraId="69403278" w14:textId="77777777" w:rsidTr="003F5138">
                              <w:tc>
                                <w:tcPr>
                                  <w:tcW w:w="8080" w:type="dxa"/>
                                  <w:shd w:val="clear" w:color="auto" w:fill="FFFFFF" w:themeFill="background1"/>
                                </w:tcPr>
                                <w:p w14:paraId="155DD7B7" w14:textId="77777777" w:rsidR="004F598E" w:rsidRDefault="004A284A" w:rsidP="004F598E">
                                  <w:pPr>
                                    <w:rPr>
                                      <w:rFonts w:ascii="Calibri" w:hAnsi="Calibri" w:cs="Calibri"/>
                                    </w:rPr>
                                  </w:pPr>
                                  <w:r>
                                    <w:rPr>
                                      <w:rFonts w:ascii="Calibri" w:hAnsi="Calibri" w:cs="Calibri"/>
                                    </w:rPr>
                                    <w:t xml:space="preserve">All children receive a taught mental health education for 30 minutes every week. This uses the </w:t>
                                  </w:r>
                                  <w:proofErr w:type="spellStart"/>
                                  <w:r>
                                    <w:rPr>
                                      <w:rFonts w:ascii="Calibri" w:hAnsi="Calibri" w:cs="Calibri"/>
                                    </w:rPr>
                                    <w:t>myHappymind</w:t>
                                  </w:r>
                                  <w:proofErr w:type="spellEnd"/>
                                  <w:r>
                                    <w:rPr>
                                      <w:rFonts w:ascii="Calibri" w:hAnsi="Calibri" w:cs="Calibri"/>
                                    </w:rPr>
                                    <w:t xml:space="preserve"> programme. </w:t>
                                  </w:r>
                                  <w:proofErr w:type="spellStart"/>
                                  <w:r>
                                    <w:rPr>
                                      <w:rFonts w:ascii="Calibri" w:hAnsi="Calibri" w:cs="Calibri"/>
                                    </w:rPr>
                                    <w:t>myHappymind</w:t>
                                  </w:r>
                                  <w:proofErr w:type="spellEnd"/>
                                  <w:r>
                                    <w:rPr>
                                      <w:rFonts w:ascii="Calibri" w:hAnsi="Calibri" w:cs="Calibri"/>
                                    </w:rPr>
                                    <w:t xml:space="preserve"> is additional to PSHE lessons, and is planned to be taught in every classroom on a Monday. </w:t>
                                  </w:r>
                                </w:p>
                                <w:p w14:paraId="29586780" w14:textId="77777777" w:rsidR="004A284A" w:rsidRDefault="004A284A" w:rsidP="004F598E">
                                  <w:pPr>
                                    <w:rPr>
                                      <w:rFonts w:ascii="Calibri" w:hAnsi="Calibri" w:cs="Calibri"/>
                                    </w:rPr>
                                  </w:pPr>
                                  <w:r>
                                    <w:rPr>
                                      <w:rFonts w:ascii="Calibri" w:hAnsi="Calibri" w:cs="Calibri"/>
                                    </w:rPr>
                                    <w:t xml:space="preserve">At the start of each unit (the start of each term), the whole school comes together for an assembly, where the new learning is introduced and foundations are set out. </w:t>
                                  </w:r>
                                </w:p>
                                <w:p w14:paraId="4D737969" w14:textId="77777777" w:rsidR="004A284A" w:rsidRDefault="004A284A" w:rsidP="004F598E">
                                  <w:pPr>
                                    <w:rPr>
                                      <w:rFonts w:ascii="Calibri" w:hAnsi="Calibri" w:cs="Calibri"/>
                                    </w:rPr>
                                  </w:pPr>
                                  <w:r>
                                    <w:rPr>
                                      <w:rFonts w:ascii="Calibri" w:hAnsi="Calibri" w:cs="Calibri"/>
                                    </w:rPr>
                                    <w:t xml:space="preserve">The children then complete weekly work in class, completing their journals each week to document their ideas. The Year 6 curriculum focuses on transition and preparation for secondary school. </w:t>
                                  </w:r>
                                </w:p>
                                <w:p w14:paraId="31AE7DB7" w14:textId="77777777" w:rsidR="004A284A" w:rsidRDefault="004A284A" w:rsidP="004F598E">
                                  <w:pPr>
                                    <w:rPr>
                                      <w:rFonts w:ascii="Calibri" w:hAnsi="Calibri" w:cs="Calibri"/>
                                    </w:rPr>
                                  </w:pPr>
                                  <w:r>
                                    <w:rPr>
                                      <w:rFonts w:ascii="Calibri" w:hAnsi="Calibri" w:cs="Calibri"/>
                                    </w:rPr>
                                    <w:t xml:space="preserve">The curriculum is supported by other resources that allow for children to practise Happy Breathing at different times throughout the school day. </w:t>
                                  </w:r>
                                </w:p>
                                <w:p w14:paraId="6A4B63CA" w14:textId="2163F35A" w:rsidR="004A284A" w:rsidRPr="004A284A" w:rsidRDefault="004A284A" w:rsidP="004F598E">
                                  <w:pPr>
                                    <w:rPr>
                                      <w:rFonts w:ascii="Calibri" w:hAnsi="Calibri" w:cs="Calibri"/>
                                    </w:rPr>
                                  </w:pPr>
                                  <w:r>
                                    <w:rPr>
                                      <w:rFonts w:ascii="Calibri" w:hAnsi="Calibri" w:cs="Calibri"/>
                                    </w:rPr>
                                    <w:t xml:space="preserve">Parents have access to a mental health app which explains and supports what the children have been learning in school. </w:t>
                                  </w:r>
                                </w:p>
                              </w:tc>
                            </w:tr>
                            <w:tr w:rsidR="004F598E" w14:paraId="52F1FD90" w14:textId="77777777" w:rsidTr="009F0F1A">
                              <w:trPr>
                                <w:trHeight w:val="58"/>
                              </w:trPr>
                              <w:tc>
                                <w:tcPr>
                                  <w:tcW w:w="8080" w:type="dxa"/>
                                  <w:tcBorders>
                                    <w:left w:val="single" w:sz="4" w:space="0" w:color="FFFFFF"/>
                                    <w:right w:val="single" w:sz="4" w:space="0" w:color="FFFFFF"/>
                                  </w:tcBorders>
                                  <w:shd w:val="clear" w:color="auto" w:fill="FFFFFF" w:themeFill="background1"/>
                                </w:tcPr>
                                <w:p w14:paraId="37165A88" w14:textId="77777777" w:rsidR="004F598E" w:rsidRDefault="004F598E" w:rsidP="003750B8">
                                  <w:pPr>
                                    <w:rPr>
                                      <w:rFonts w:ascii="Calibri" w:hAnsi="Calibri" w:cs="Calibri"/>
                                      <w:b/>
                                      <w:sz w:val="10"/>
                                    </w:rPr>
                                  </w:pPr>
                                </w:p>
                                <w:p w14:paraId="63F89827" w14:textId="1CD1C8F0" w:rsidR="00FB0AD2" w:rsidRPr="009F0F1A" w:rsidRDefault="00FB0AD2" w:rsidP="003750B8">
                                  <w:pPr>
                                    <w:rPr>
                                      <w:rFonts w:ascii="Calibri" w:hAnsi="Calibri" w:cs="Calibri"/>
                                      <w:b/>
                                      <w:sz w:val="10"/>
                                    </w:rPr>
                                  </w:pPr>
                                </w:p>
                              </w:tc>
                            </w:tr>
                            <w:tr w:rsidR="003750B8" w14:paraId="1362DA72" w14:textId="77777777" w:rsidTr="003F5138">
                              <w:tc>
                                <w:tcPr>
                                  <w:tcW w:w="8080"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3F5138">
                              <w:tc>
                                <w:tcPr>
                                  <w:tcW w:w="8080" w:type="dxa"/>
                                  <w:tcBorders>
                                    <w:bottom w:val="single" w:sz="4" w:space="0" w:color="auto"/>
                                  </w:tcBorders>
                                </w:tcPr>
                                <w:p w14:paraId="48553F37" w14:textId="77777777" w:rsidR="003F5138" w:rsidRDefault="004A284A" w:rsidP="003750B8">
                                  <w:pPr>
                                    <w:rPr>
                                      <w:rFonts w:ascii="Calibri" w:hAnsi="Calibri" w:cs="Calibri"/>
                                      <w:sz w:val="21"/>
                                      <w:szCs w:val="21"/>
                                    </w:rPr>
                                  </w:pPr>
                                  <w:r>
                                    <w:rPr>
                                      <w:rFonts w:ascii="Calibri" w:hAnsi="Calibri" w:cs="Calibri"/>
                                      <w:sz w:val="21"/>
                                      <w:szCs w:val="21"/>
                                    </w:rPr>
                                    <w:t xml:space="preserve">Our Mental Health Education includes videos, retrieval, true/false statements, opportunities for discussion and </w:t>
                                  </w:r>
                                  <w:r w:rsidR="00FB0AD2">
                                    <w:rPr>
                                      <w:rFonts w:ascii="Calibri" w:hAnsi="Calibri" w:cs="Calibri"/>
                                      <w:sz w:val="21"/>
                                      <w:szCs w:val="21"/>
                                    </w:rPr>
                                    <w:t>journaling. Children’s learning is grouped in to five areas:</w:t>
                                  </w:r>
                                </w:p>
                                <w:p w14:paraId="1C9D0C9C"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Meet your brain</w:t>
                                  </w:r>
                                </w:p>
                                <w:p w14:paraId="6D83B808"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Appreciate</w:t>
                                  </w:r>
                                </w:p>
                                <w:p w14:paraId="5EAF3A30"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Celebrate</w:t>
                                  </w:r>
                                </w:p>
                                <w:p w14:paraId="43021DD3"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 xml:space="preserve">Relate </w:t>
                                  </w:r>
                                </w:p>
                                <w:p w14:paraId="06DA44F9"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Engage</w:t>
                                  </w:r>
                                </w:p>
                                <w:p w14:paraId="3A510DBA" w14:textId="0507F1BE" w:rsidR="00FB0AD2" w:rsidRPr="00FB0AD2" w:rsidRDefault="00FB0AD2" w:rsidP="00FB0AD2">
                                  <w:pPr>
                                    <w:rPr>
                                      <w:rFonts w:ascii="Calibri" w:hAnsi="Calibri" w:cs="Calibri"/>
                                      <w:sz w:val="21"/>
                                      <w:szCs w:val="21"/>
                                    </w:rPr>
                                  </w:pPr>
                                  <w:r>
                                    <w:rPr>
                                      <w:rFonts w:ascii="Calibri" w:hAnsi="Calibri" w:cs="Calibri"/>
                                      <w:sz w:val="21"/>
                                      <w:szCs w:val="21"/>
                                    </w:rPr>
                                    <w:t xml:space="preserve">Staff award certificates at the end of each module to celebrate the children’s learning. </w:t>
                                  </w:r>
                                </w:p>
                              </w:tc>
                            </w:tr>
                            <w:tr w:rsidR="004F598E" w14:paraId="376E03FF" w14:textId="77777777" w:rsidTr="003F5138">
                              <w:tc>
                                <w:tcPr>
                                  <w:tcW w:w="8080" w:type="dxa"/>
                                  <w:tcBorders>
                                    <w:left w:val="single" w:sz="4" w:space="0" w:color="FFFFFF" w:themeColor="background1"/>
                                    <w:bottom w:val="single" w:sz="4" w:space="0" w:color="auto"/>
                                    <w:right w:val="single" w:sz="4" w:space="0" w:color="FFFFFF" w:themeColor="background1"/>
                                  </w:tcBorders>
                                </w:tcPr>
                                <w:p w14:paraId="4B1A64DF" w14:textId="77777777" w:rsidR="004F598E" w:rsidRDefault="004F598E" w:rsidP="003750B8">
                                  <w:pPr>
                                    <w:rPr>
                                      <w:rFonts w:ascii="Calibri" w:hAnsi="Calibri" w:cs="Calibri"/>
                                      <w:sz w:val="10"/>
                                    </w:rPr>
                                  </w:pPr>
                                </w:p>
                                <w:p w14:paraId="17F1EF17" w14:textId="6F9BE7D9" w:rsidR="00FB0AD2" w:rsidRPr="009F0F1A" w:rsidRDefault="00FB0AD2" w:rsidP="003750B8">
                                  <w:pPr>
                                    <w:rPr>
                                      <w:rFonts w:ascii="Calibri" w:hAnsi="Calibri" w:cs="Calibri"/>
                                      <w:sz w:val="10"/>
                                    </w:rPr>
                                  </w:pPr>
                                </w:p>
                              </w:tc>
                            </w:tr>
                            <w:tr w:rsidR="004F598E" w14:paraId="54B32DF9" w14:textId="77777777" w:rsidTr="003F5138">
                              <w:tc>
                                <w:tcPr>
                                  <w:tcW w:w="8080" w:type="dxa"/>
                                  <w:tcBorders>
                                    <w:top w:val="single" w:sz="4" w:space="0" w:color="auto"/>
                                  </w:tcBorders>
                                  <w:shd w:val="clear" w:color="auto" w:fill="C5E0B3" w:themeFill="accent6" w:themeFillTint="66"/>
                                </w:tcPr>
                                <w:p w14:paraId="0AC8CED3" w14:textId="2AB09FB8" w:rsidR="004F598E" w:rsidRDefault="004F598E" w:rsidP="003750B8">
                                  <w:pPr>
                                    <w:rPr>
                                      <w:rFonts w:ascii="Calibri" w:hAnsi="Calibri" w:cs="Calibri"/>
                                    </w:rPr>
                                  </w:pPr>
                                  <w:r>
                                    <w:rPr>
                                      <w:rFonts w:ascii="Calibri" w:hAnsi="Calibri" w:cs="Calibri"/>
                                      <w:b/>
                                    </w:rPr>
                                    <w:t>SEND</w:t>
                                  </w:r>
                                </w:p>
                              </w:tc>
                            </w:tr>
                            <w:tr w:rsidR="004F598E" w14:paraId="7D8D2425" w14:textId="77777777" w:rsidTr="003F5138">
                              <w:tc>
                                <w:tcPr>
                                  <w:tcW w:w="8080" w:type="dxa"/>
                                </w:tcPr>
                                <w:p w14:paraId="79E15971" w14:textId="77777777" w:rsidR="009F0F1A" w:rsidRDefault="009F0F1A" w:rsidP="003750B8">
                                  <w:pPr>
                                    <w:rPr>
                                      <w:rFonts w:ascii="Calibri" w:hAnsi="Calibri" w:cs="Calibri"/>
                                    </w:rPr>
                                  </w:pPr>
                                  <w:r>
                                    <w:rPr>
                                      <w:rFonts w:ascii="Calibri" w:hAnsi="Calibri" w:cs="Calibri"/>
                                    </w:rPr>
                                    <w:t xml:space="preserve"> </w:t>
                                  </w:r>
                                  <w:r w:rsidR="004A284A">
                                    <w:rPr>
                                      <w:rFonts w:ascii="Calibri" w:hAnsi="Calibri" w:cs="Calibri"/>
                                    </w:rPr>
                                    <w:t xml:space="preserve">All children access our mental health education. Adjustments are made so that all children can discuss and record their learning. </w:t>
                                  </w:r>
                                </w:p>
                                <w:p w14:paraId="0D61D74C" w14:textId="06707E4B" w:rsidR="004A284A" w:rsidRDefault="004A284A" w:rsidP="003750B8">
                                  <w:pPr>
                                    <w:rPr>
                                      <w:rFonts w:ascii="Calibri" w:hAnsi="Calibri" w:cs="Calibri"/>
                                    </w:rPr>
                                  </w:pPr>
                                  <w:r>
                                    <w:rPr>
                                      <w:rFonts w:ascii="Calibri" w:hAnsi="Calibri" w:cs="Calibri"/>
                                    </w:rPr>
                                    <w:t xml:space="preserve">Children with additional mental health needs can access small group or 1:1 support through Compass Changing Lives. </w:t>
                                  </w:r>
                                </w:p>
                              </w:tc>
                            </w:tr>
                            <w:tr w:rsidR="001013DE" w14:paraId="2310D2B2" w14:textId="77777777" w:rsidTr="001013DE">
                              <w:tc>
                                <w:tcPr>
                                  <w:tcW w:w="8080" w:type="dxa"/>
                                  <w:tcBorders>
                                    <w:left w:val="single" w:sz="4" w:space="0" w:color="FFFFFF"/>
                                    <w:right w:val="single" w:sz="4" w:space="0" w:color="FFFFFF"/>
                                  </w:tcBorders>
                                </w:tcPr>
                                <w:p w14:paraId="536349BE" w14:textId="77777777" w:rsidR="001013DE" w:rsidRDefault="001013DE" w:rsidP="003750B8">
                                  <w:pPr>
                                    <w:rPr>
                                      <w:rFonts w:ascii="Calibri" w:hAnsi="Calibri" w:cs="Calibri"/>
                                    </w:rPr>
                                  </w:pPr>
                                </w:p>
                              </w:tc>
                            </w:tr>
                            <w:tr w:rsidR="001013DE" w14:paraId="11BB7CEE" w14:textId="77777777" w:rsidTr="001013DE">
                              <w:tc>
                                <w:tcPr>
                                  <w:tcW w:w="8080" w:type="dxa"/>
                                  <w:shd w:val="clear" w:color="auto" w:fill="C5E0B3" w:themeFill="accent6" w:themeFillTint="66"/>
                                </w:tcPr>
                                <w:p w14:paraId="7354A7EF" w14:textId="75740EC2" w:rsidR="001013DE" w:rsidRDefault="001013DE" w:rsidP="003750B8">
                                  <w:pPr>
                                    <w:rPr>
                                      <w:rFonts w:ascii="Calibri" w:hAnsi="Calibri" w:cs="Calibri"/>
                                    </w:rPr>
                                  </w:pPr>
                                  <w:r w:rsidRPr="001013DE">
                                    <w:rPr>
                                      <w:rFonts w:ascii="Calibri" w:hAnsi="Calibri" w:cs="Calibri"/>
                                      <w:b/>
                                    </w:rPr>
                                    <w:t>Further Resources and Support</w:t>
                                  </w:r>
                                </w:p>
                              </w:tc>
                            </w:tr>
                            <w:tr w:rsidR="001013DE" w14:paraId="4B5B4C0F" w14:textId="77777777" w:rsidTr="003F5138">
                              <w:tc>
                                <w:tcPr>
                                  <w:tcW w:w="8080" w:type="dxa"/>
                                </w:tcPr>
                                <w:p w14:paraId="0422EFEF" w14:textId="3ED2FE94" w:rsidR="001013DE" w:rsidRDefault="00FB6549" w:rsidP="003750B8">
                                  <w:pPr>
                                    <w:rPr>
                                      <w:rFonts w:ascii="Calibri" w:hAnsi="Calibri" w:cs="Calibri"/>
                                    </w:rPr>
                                  </w:pPr>
                                  <w:hyperlink r:id="rId9" w:history="1">
                                    <w:r w:rsidR="005F7F89" w:rsidRPr="00943F90">
                                      <w:rPr>
                                        <w:rStyle w:val="Hyperlink"/>
                                        <w:rFonts w:ascii="Calibri" w:hAnsi="Calibri" w:cs="Calibri"/>
                                      </w:rPr>
                                      <w:t>https://www.highfieldhall.derbyshire.sch.uk/web/myhappymind/664832</w:t>
                                    </w:r>
                                  </w:hyperlink>
                                  <w:r w:rsidR="005F7F89">
                                    <w:rPr>
                                      <w:rFonts w:ascii="Calibri" w:hAnsi="Calibri" w:cs="Calibri"/>
                                    </w:rPr>
                                    <w:t xml:space="preserve"> </w:t>
                                  </w: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3B85" id="_x0000_t202" coordsize="21600,21600" o:spt="202" path="m,l,21600r21600,l21600,xe">
                <v:stroke joinstyle="miter"/>
                <v:path gradientshapeok="t" o:connecttype="rect"/>
              </v:shapetype>
              <v:shape id="Text Box 2" o:spid="_x0000_s1026" type="#_x0000_t202" style="position:absolute;margin-left:4.8pt;margin-top:.95pt;width:420pt;height:47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" stroked="f">
                <v:textbox>
                  <w:txbxContent>
                    <w:tbl>
                      <w:tblPr>
                        <w:tblStyle w:val="TableGrid"/>
                        <w:tblW w:w="8080" w:type="dxa"/>
                        <w:tblInd w:w="-5" w:type="dxa"/>
                        <w:tblLook w:val="04A0" w:firstRow="1" w:lastRow="0" w:firstColumn="1" w:lastColumn="0" w:noHBand="0" w:noVBand="1"/>
                      </w:tblPr>
                      <w:tblGrid>
                        <w:gridCol w:w="8080"/>
                      </w:tblGrid>
                      <w:tr w:rsidR="004F598E" w14:paraId="4E274F28" w14:textId="77777777" w:rsidTr="003F5138">
                        <w:tc>
                          <w:tcPr>
                            <w:tcW w:w="8080" w:type="dxa"/>
                            <w:shd w:val="clear" w:color="auto" w:fill="C5E0B3" w:themeFill="accent6" w:themeFillTint="66"/>
                          </w:tcPr>
                          <w:p w14:paraId="60C70568" w14:textId="38CFA8F6" w:rsidR="004F598E" w:rsidRDefault="004F598E" w:rsidP="003750B8">
                            <w:pPr>
                              <w:rPr>
                                <w:rFonts w:ascii="Calibri" w:hAnsi="Calibri" w:cs="Calibri"/>
                                <w:b/>
                              </w:rPr>
                            </w:pPr>
                            <w:r>
                              <w:rPr>
                                <w:rFonts w:ascii="Calibri" w:hAnsi="Calibri" w:cs="Calibri"/>
                                <w:b/>
                              </w:rPr>
                              <w:t>Curriculum Content</w:t>
                            </w:r>
                          </w:p>
                        </w:tc>
                      </w:tr>
                      <w:tr w:rsidR="004F598E" w14:paraId="69403278" w14:textId="77777777" w:rsidTr="003F5138">
                        <w:tc>
                          <w:tcPr>
                            <w:tcW w:w="8080" w:type="dxa"/>
                            <w:shd w:val="clear" w:color="auto" w:fill="FFFFFF" w:themeFill="background1"/>
                          </w:tcPr>
                          <w:p w14:paraId="155DD7B7" w14:textId="77777777" w:rsidR="004F598E" w:rsidRDefault="004A284A" w:rsidP="004F598E">
                            <w:pPr>
                              <w:rPr>
                                <w:rFonts w:ascii="Calibri" w:hAnsi="Calibri" w:cs="Calibri"/>
                              </w:rPr>
                            </w:pPr>
                            <w:r>
                              <w:rPr>
                                <w:rFonts w:ascii="Calibri" w:hAnsi="Calibri" w:cs="Calibri"/>
                              </w:rPr>
                              <w:t xml:space="preserve">All children receive a taught mental health education for 30 minutes every week. This uses the </w:t>
                            </w:r>
                            <w:proofErr w:type="spellStart"/>
                            <w:r>
                              <w:rPr>
                                <w:rFonts w:ascii="Calibri" w:hAnsi="Calibri" w:cs="Calibri"/>
                              </w:rPr>
                              <w:t>myHappymind</w:t>
                            </w:r>
                            <w:proofErr w:type="spellEnd"/>
                            <w:r>
                              <w:rPr>
                                <w:rFonts w:ascii="Calibri" w:hAnsi="Calibri" w:cs="Calibri"/>
                              </w:rPr>
                              <w:t xml:space="preserve"> programme. </w:t>
                            </w:r>
                            <w:proofErr w:type="spellStart"/>
                            <w:r>
                              <w:rPr>
                                <w:rFonts w:ascii="Calibri" w:hAnsi="Calibri" w:cs="Calibri"/>
                              </w:rPr>
                              <w:t>myHappymind</w:t>
                            </w:r>
                            <w:proofErr w:type="spellEnd"/>
                            <w:r>
                              <w:rPr>
                                <w:rFonts w:ascii="Calibri" w:hAnsi="Calibri" w:cs="Calibri"/>
                              </w:rPr>
                              <w:t xml:space="preserve"> is additional to PSHE lessons, and is planned to be taught in every classroom on a Monday. </w:t>
                            </w:r>
                          </w:p>
                          <w:p w14:paraId="29586780" w14:textId="77777777" w:rsidR="004A284A" w:rsidRDefault="004A284A" w:rsidP="004F598E">
                            <w:pPr>
                              <w:rPr>
                                <w:rFonts w:ascii="Calibri" w:hAnsi="Calibri" w:cs="Calibri"/>
                              </w:rPr>
                            </w:pPr>
                            <w:r>
                              <w:rPr>
                                <w:rFonts w:ascii="Calibri" w:hAnsi="Calibri" w:cs="Calibri"/>
                              </w:rPr>
                              <w:t xml:space="preserve">At the start of each unit (the start of each term), the whole school comes together for an assembly, where the new learning is introduced and foundations are set out. </w:t>
                            </w:r>
                          </w:p>
                          <w:p w14:paraId="4D737969" w14:textId="77777777" w:rsidR="004A284A" w:rsidRDefault="004A284A" w:rsidP="004F598E">
                            <w:pPr>
                              <w:rPr>
                                <w:rFonts w:ascii="Calibri" w:hAnsi="Calibri" w:cs="Calibri"/>
                              </w:rPr>
                            </w:pPr>
                            <w:r>
                              <w:rPr>
                                <w:rFonts w:ascii="Calibri" w:hAnsi="Calibri" w:cs="Calibri"/>
                              </w:rPr>
                              <w:t xml:space="preserve">The children then complete weekly work in class, completing their journals each week to document their ideas. The Year 6 curriculum focuses on transition and preparation for secondary school. </w:t>
                            </w:r>
                          </w:p>
                          <w:p w14:paraId="31AE7DB7" w14:textId="77777777" w:rsidR="004A284A" w:rsidRDefault="004A284A" w:rsidP="004F598E">
                            <w:pPr>
                              <w:rPr>
                                <w:rFonts w:ascii="Calibri" w:hAnsi="Calibri" w:cs="Calibri"/>
                              </w:rPr>
                            </w:pPr>
                            <w:r>
                              <w:rPr>
                                <w:rFonts w:ascii="Calibri" w:hAnsi="Calibri" w:cs="Calibri"/>
                              </w:rPr>
                              <w:t xml:space="preserve">The curriculum is supported by other resources that allow for children to practise Happy Breathing at different times throughout the school day. </w:t>
                            </w:r>
                          </w:p>
                          <w:p w14:paraId="6A4B63CA" w14:textId="2163F35A" w:rsidR="004A284A" w:rsidRPr="004A284A" w:rsidRDefault="004A284A" w:rsidP="004F598E">
                            <w:pPr>
                              <w:rPr>
                                <w:rFonts w:ascii="Calibri" w:hAnsi="Calibri" w:cs="Calibri"/>
                              </w:rPr>
                            </w:pPr>
                            <w:r>
                              <w:rPr>
                                <w:rFonts w:ascii="Calibri" w:hAnsi="Calibri" w:cs="Calibri"/>
                              </w:rPr>
                              <w:t xml:space="preserve">Parents have access to a mental health app which explains and supports what the children have been learning in school. </w:t>
                            </w:r>
                          </w:p>
                        </w:tc>
                      </w:tr>
                      <w:tr w:rsidR="004F598E" w14:paraId="52F1FD90" w14:textId="77777777" w:rsidTr="009F0F1A">
                        <w:trPr>
                          <w:trHeight w:val="58"/>
                        </w:trPr>
                        <w:tc>
                          <w:tcPr>
                            <w:tcW w:w="8080" w:type="dxa"/>
                            <w:tcBorders>
                              <w:left w:val="single" w:sz="4" w:space="0" w:color="FFFFFF"/>
                              <w:right w:val="single" w:sz="4" w:space="0" w:color="FFFFFF"/>
                            </w:tcBorders>
                            <w:shd w:val="clear" w:color="auto" w:fill="FFFFFF" w:themeFill="background1"/>
                          </w:tcPr>
                          <w:p w14:paraId="37165A88" w14:textId="77777777" w:rsidR="004F598E" w:rsidRDefault="004F598E" w:rsidP="003750B8">
                            <w:pPr>
                              <w:rPr>
                                <w:rFonts w:ascii="Calibri" w:hAnsi="Calibri" w:cs="Calibri"/>
                                <w:b/>
                                <w:sz w:val="10"/>
                              </w:rPr>
                            </w:pPr>
                          </w:p>
                          <w:p w14:paraId="63F89827" w14:textId="1CD1C8F0" w:rsidR="00FB0AD2" w:rsidRPr="009F0F1A" w:rsidRDefault="00FB0AD2" w:rsidP="003750B8">
                            <w:pPr>
                              <w:rPr>
                                <w:rFonts w:ascii="Calibri" w:hAnsi="Calibri" w:cs="Calibri"/>
                                <w:b/>
                                <w:sz w:val="10"/>
                              </w:rPr>
                            </w:pPr>
                          </w:p>
                        </w:tc>
                      </w:tr>
                      <w:tr w:rsidR="003750B8" w14:paraId="1362DA72" w14:textId="77777777" w:rsidTr="003F5138">
                        <w:tc>
                          <w:tcPr>
                            <w:tcW w:w="8080"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3F5138">
                        <w:tc>
                          <w:tcPr>
                            <w:tcW w:w="8080" w:type="dxa"/>
                            <w:tcBorders>
                              <w:bottom w:val="single" w:sz="4" w:space="0" w:color="auto"/>
                            </w:tcBorders>
                          </w:tcPr>
                          <w:p w14:paraId="48553F37" w14:textId="77777777" w:rsidR="003F5138" w:rsidRDefault="004A284A" w:rsidP="003750B8">
                            <w:pPr>
                              <w:rPr>
                                <w:rFonts w:ascii="Calibri" w:hAnsi="Calibri" w:cs="Calibri"/>
                                <w:sz w:val="21"/>
                                <w:szCs w:val="21"/>
                              </w:rPr>
                            </w:pPr>
                            <w:r>
                              <w:rPr>
                                <w:rFonts w:ascii="Calibri" w:hAnsi="Calibri" w:cs="Calibri"/>
                                <w:sz w:val="21"/>
                                <w:szCs w:val="21"/>
                              </w:rPr>
                              <w:t xml:space="preserve">Our Mental Health Education includes videos, retrieval, true/false statements, opportunities for discussion and </w:t>
                            </w:r>
                            <w:r w:rsidR="00FB0AD2">
                              <w:rPr>
                                <w:rFonts w:ascii="Calibri" w:hAnsi="Calibri" w:cs="Calibri"/>
                                <w:sz w:val="21"/>
                                <w:szCs w:val="21"/>
                              </w:rPr>
                              <w:t>journaling. Children’s learning is grouped in to five areas:</w:t>
                            </w:r>
                          </w:p>
                          <w:p w14:paraId="1C9D0C9C"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Meet your brain</w:t>
                            </w:r>
                          </w:p>
                          <w:p w14:paraId="6D83B808"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Appreciate</w:t>
                            </w:r>
                          </w:p>
                          <w:p w14:paraId="5EAF3A30"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Celebrate</w:t>
                            </w:r>
                          </w:p>
                          <w:p w14:paraId="43021DD3"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 xml:space="preserve">Relate </w:t>
                            </w:r>
                          </w:p>
                          <w:p w14:paraId="06DA44F9" w14:textId="77777777" w:rsidR="00FB0AD2" w:rsidRDefault="00FB0AD2" w:rsidP="00FB0AD2">
                            <w:pPr>
                              <w:pStyle w:val="ListParagraph"/>
                              <w:numPr>
                                <w:ilvl w:val="0"/>
                                <w:numId w:val="23"/>
                              </w:numPr>
                              <w:rPr>
                                <w:rFonts w:ascii="Calibri" w:hAnsi="Calibri" w:cs="Calibri"/>
                                <w:sz w:val="21"/>
                                <w:szCs w:val="21"/>
                              </w:rPr>
                            </w:pPr>
                            <w:r>
                              <w:rPr>
                                <w:rFonts w:ascii="Calibri" w:hAnsi="Calibri" w:cs="Calibri"/>
                                <w:sz w:val="21"/>
                                <w:szCs w:val="21"/>
                              </w:rPr>
                              <w:t>Engage</w:t>
                            </w:r>
                          </w:p>
                          <w:p w14:paraId="3A510DBA" w14:textId="0507F1BE" w:rsidR="00FB0AD2" w:rsidRPr="00FB0AD2" w:rsidRDefault="00FB0AD2" w:rsidP="00FB0AD2">
                            <w:pPr>
                              <w:rPr>
                                <w:rFonts w:ascii="Calibri" w:hAnsi="Calibri" w:cs="Calibri"/>
                                <w:sz w:val="21"/>
                                <w:szCs w:val="21"/>
                              </w:rPr>
                            </w:pPr>
                            <w:r>
                              <w:rPr>
                                <w:rFonts w:ascii="Calibri" w:hAnsi="Calibri" w:cs="Calibri"/>
                                <w:sz w:val="21"/>
                                <w:szCs w:val="21"/>
                              </w:rPr>
                              <w:t xml:space="preserve">Staff award certificates at the end of each module to celebrate the children’s learning. </w:t>
                            </w:r>
                          </w:p>
                        </w:tc>
                      </w:tr>
                      <w:tr w:rsidR="004F598E" w14:paraId="376E03FF" w14:textId="77777777" w:rsidTr="003F5138">
                        <w:tc>
                          <w:tcPr>
                            <w:tcW w:w="8080" w:type="dxa"/>
                            <w:tcBorders>
                              <w:left w:val="single" w:sz="4" w:space="0" w:color="FFFFFF" w:themeColor="background1"/>
                              <w:bottom w:val="single" w:sz="4" w:space="0" w:color="auto"/>
                              <w:right w:val="single" w:sz="4" w:space="0" w:color="FFFFFF" w:themeColor="background1"/>
                            </w:tcBorders>
                          </w:tcPr>
                          <w:p w14:paraId="4B1A64DF" w14:textId="77777777" w:rsidR="004F598E" w:rsidRDefault="004F598E" w:rsidP="003750B8">
                            <w:pPr>
                              <w:rPr>
                                <w:rFonts w:ascii="Calibri" w:hAnsi="Calibri" w:cs="Calibri"/>
                                <w:sz w:val="10"/>
                              </w:rPr>
                            </w:pPr>
                          </w:p>
                          <w:p w14:paraId="17F1EF17" w14:textId="6F9BE7D9" w:rsidR="00FB0AD2" w:rsidRPr="009F0F1A" w:rsidRDefault="00FB0AD2" w:rsidP="003750B8">
                            <w:pPr>
                              <w:rPr>
                                <w:rFonts w:ascii="Calibri" w:hAnsi="Calibri" w:cs="Calibri"/>
                                <w:sz w:val="10"/>
                              </w:rPr>
                            </w:pPr>
                          </w:p>
                        </w:tc>
                      </w:tr>
                      <w:tr w:rsidR="004F598E" w14:paraId="54B32DF9" w14:textId="77777777" w:rsidTr="003F5138">
                        <w:tc>
                          <w:tcPr>
                            <w:tcW w:w="8080" w:type="dxa"/>
                            <w:tcBorders>
                              <w:top w:val="single" w:sz="4" w:space="0" w:color="auto"/>
                            </w:tcBorders>
                            <w:shd w:val="clear" w:color="auto" w:fill="C5E0B3" w:themeFill="accent6" w:themeFillTint="66"/>
                          </w:tcPr>
                          <w:p w14:paraId="0AC8CED3" w14:textId="2AB09FB8" w:rsidR="004F598E" w:rsidRDefault="004F598E" w:rsidP="003750B8">
                            <w:pPr>
                              <w:rPr>
                                <w:rFonts w:ascii="Calibri" w:hAnsi="Calibri" w:cs="Calibri"/>
                              </w:rPr>
                            </w:pPr>
                            <w:r>
                              <w:rPr>
                                <w:rFonts w:ascii="Calibri" w:hAnsi="Calibri" w:cs="Calibri"/>
                                <w:b/>
                              </w:rPr>
                              <w:t>SEND</w:t>
                            </w:r>
                          </w:p>
                        </w:tc>
                      </w:tr>
                      <w:tr w:rsidR="004F598E" w14:paraId="7D8D2425" w14:textId="77777777" w:rsidTr="003F5138">
                        <w:tc>
                          <w:tcPr>
                            <w:tcW w:w="8080" w:type="dxa"/>
                          </w:tcPr>
                          <w:p w14:paraId="79E15971" w14:textId="77777777" w:rsidR="009F0F1A" w:rsidRDefault="009F0F1A" w:rsidP="003750B8">
                            <w:pPr>
                              <w:rPr>
                                <w:rFonts w:ascii="Calibri" w:hAnsi="Calibri" w:cs="Calibri"/>
                              </w:rPr>
                            </w:pPr>
                            <w:r>
                              <w:rPr>
                                <w:rFonts w:ascii="Calibri" w:hAnsi="Calibri" w:cs="Calibri"/>
                              </w:rPr>
                              <w:t xml:space="preserve"> </w:t>
                            </w:r>
                            <w:r w:rsidR="004A284A">
                              <w:rPr>
                                <w:rFonts w:ascii="Calibri" w:hAnsi="Calibri" w:cs="Calibri"/>
                              </w:rPr>
                              <w:t xml:space="preserve">All children access our mental health education. Adjustments are made so that all children can discuss and record their learning. </w:t>
                            </w:r>
                          </w:p>
                          <w:p w14:paraId="0D61D74C" w14:textId="06707E4B" w:rsidR="004A284A" w:rsidRDefault="004A284A" w:rsidP="003750B8">
                            <w:pPr>
                              <w:rPr>
                                <w:rFonts w:ascii="Calibri" w:hAnsi="Calibri" w:cs="Calibri"/>
                              </w:rPr>
                            </w:pPr>
                            <w:r>
                              <w:rPr>
                                <w:rFonts w:ascii="Calibri" w:hAnsi="Calibri" w:cs="Calibri"/>
                              </w:rPr>
                              <w:t xml:space="preserve">Children with additional mental health needs can access small group or 1:1 support through Compass Changing Lives. </w:t>
                            </w:r>
                          </w:p>
                        </w:tc>
                      </w:tr>
                      <w:tr w:rsidR="001013DE" w14:paraId="2310D2B2" w14:textId="77777777" w:rsidTr="001013DE">
                        <w:tc>
                          <w:tcPr>
                            <w:tcW w:w="8080" w:type="dxa"/>
                            <w:tcBorders>
                              <w:left w:val="single" w:sz="4" w:space="0" w:color="FFFFFF"/>
                              <w:right w:val="single" w:sz="4" w:space="0" w:color="FFFFFF"/>
                            </w:tcBorders>
                          </w:tcPr>
                          <w:p w14:paraId="536349BE" w14:textId="77777777" w:rsidR="001013DE" w:rsidRDefault="001013DE" w:rsidP="003750B8">
                            <w:pPr>
                              <w:rPr>
                                <w:rFonts w:ascii="Calibri" w:hAnsi="Calibri" w:cs="Calibri"/>
                              </w:rPr>
                            </w:pPr>
                          </w:p>
                        </w:tc>
                      </w:tr>
                      <w:tr w:rsidR="001013DE" w14:paraId="11BB7CEE" w14:textId="77777777" w:rsidTr="001013DE">
                        <w:tc>
                          <w:tcPr>
                            <w:tcW w:w="8080" w:type="dxa"/>
                            <w:shd w:val="clear" w:color="auto" w:fill="C5E0B3" w:themeFill="accent6" w:themeFillTint="66"/>
                          </w:tcPr>
                          <w:p w14:paraId="7354A7EF" w14:textId="75740EC2" w:rsidR="001013DE" w:rsidRDefault="001013DE" w:rsidP="003750B8">
                            <w:pPr>
                              <w:rPr>
                                <w:rFonts w:ascii="Calibri" w:hAnsi="Calibri" w:cs="Calibri"/>
                              </w:rPr>
                            </w:pPr>
                            <w:r w:rsidRPr="001013DE">
                              <w:rPr>
                                <w:rFonts w:ascii="Calibri" w:hAnsi="Calibri" w:cs="Calibri"/>
                                <w:b/>
                              </w:rPr>
                              <w:t>Further Resources and Support</w:t>
                            </w:r>
                          </w:p>
                        </w:tc>
                      </w:tr>
                      <w:tr w:rsidR="001013DE" w14:paraId="4B5B4C0F" w14:textId="77777777" w:rsidTr="003F5138">
                        <w:tc>
                          <w:tcPr>
                            <w:tcW w:w="8080" w:type="dxa"/>
                          </w:tcPr>
                          <w:p w14:paraId="0422EFEF" w14:textId="3ED2FE94" w:rsidR="001013DE" w:rsidRDefault="00FB6549" w:rsidP="003750B8">
                            <w:pPr>
                              <w:rPr>
                                <w:rFonts w:ascii="Calibri" w:hAnsi="Calibri" w:cs="Calibri"/>
                              </w:rPr>
                            </w:pPr>
                            <w:hyperlink r:id="rId10" w:history="1">
                              <w:r w:rsidR="005F7F89" w:rsidRPr="00943F90">
                                <w:rPr>
                                  <w:rStyle w:val="Hyperlink"/>
                                  <w:rFonts w:ascii="Calibri" w:hAnsi="Calibri" w:cs="Calibri"/>
                                </w:rPr>
                                <w:t>https://www.highfieldhall.derbyshire.sch.uk/web/myhappymind/664832</w:t>
                              </w:r>
                            </w:hyperlink>
                            <w:r w:rsidR="005F7F89">
                              <w:rPr>
                                <w:rFonts w:ascii="Calibri" w:hAnsi="Calibri" w:cs="Calibri"/>
                              </w:rPr>
                              <w:t xml:space="preserve"> </w:t>
                            </w:r>
                          </w:p>
                        </w:tc>
                      </w:tr>
                    </w:tbl>
                    <w:p w14:paraId="53D42345" w14:textId="77777777" w:rsidR="003750B8" w:rsidRDefault="003750B8" w:rsidP="003750B8"/>
                  </w:txbxContent>
                </v:textbox>
                <w10:wrap type="square"/>
              </v:shape>
            </w:pict>
          </mc:Fallback>
        </mc:AlternateContent>
      </w:r>
      <w:r w:rsidR="00915B9F" w:rsidRPr="00E71B59">
        <w:rPr>
          <w:rFonts w:ascii="Calibri" w:hAnsi="Calibri" w:cs="Calibri"/>
          <w:b/>
        </w:rPr>
        <w:t xml:space="preserve"> </w:t>
      </w:r>
      <w:bookmarkStart w:id="0" w:name="_GoBack"/>
      <w:bookmarkEnd w:id="0"/>
    </w:p>
    <w:sectPr w:rsidR="00BE34CA" w:rsidRPr="00E71B59" w:rsidSect="00060321">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FC7A" w14:textId="77777777" w:rsidR="00A87DCC" w:rsidRDefault="00A87DCC" w:rsidP="0022764F">
      <w:pPr>
        <w:spacing w:after="0" w:line="240" w:lineRule="auto"/>
      </w:pPr>
      <w:r>
        <w:separator/>
      </w:r>
    </w:p>
  </w:endnote>
  <w:endnote w:type="continuationSeparator" w:id="0">
    <w:p w14:paraId="7736DBC0" w14:textId="77777777" w:rsidR="00A87DCC" w:rsidRDefault="00A87DCC"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C48A" w14:textId="77777777" w:rsidR="00A87DCC" w:rsidRDefault="00A87DCC" w:rsidP="0022764F">
      <w:pPr>
        <w:spacing w:after="0" w:line="240" w:lineRule="auto"/>
      </w:pPr>
      <w:r>
        <w:separator/>
      </w:r>
    </w:p>
  </w:footnote>
  <w:footnote w:type="continuationSeparator" w:id="0">
    <w:p w14:paraId="040C346C" w14:textId="77777777" w:rsidR="00A87DCC" w:rsidRDefault="00A87DCC"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B93BA" w14:textId="71696CE5" w:rsidR="0022764F" w:rsidRDefault="00114C00" w:rsidP="00FB6549">
    <w:pPr>
      <w:spacing w:after="0" w:line="240" w:lineRule="auto"/>
      <w:rPr>
        <w:rFonts w:ascii="Century Gothic" w:hAnsi="Century Gothic"/>
        <w:b/>
        <w:sz w:val="40"/>
        <w:szCs w:val="20"/>
      </w:rPr>
    </w:pPr>
    <w:r w:rsidRPr="007C7EE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4081BF0E">
          <wp:simplePos x="0" y="0"/>
          <wp:positionH relativeFrom="column">
            <wp:posOffset>-53340</wp:posOffset>
          </wp:positionH>
          <wp:positionV relativeFrom="paragraph">
            <wp:posOffset>-322580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6549">
      <w:rPr>
        <w:rFonts w:ascii="Century Gothic" w:hAnsi="Century Gothic"/>
        <w:b/>
        <w:sz w:val="40"/>
        <w:szCs w:val="20"/>
      </w:rPr>
      <w:t xml:space="preserve">              </w:t>
    </w:r>
    <w:r w:rsidR="00060321" w:rsidRPr="007C7EE4">
      <w:rPr>
        <w:rFonts w:ascii="Century Gothic" w:hAnsi="Century Gothic"/>
        <w:b/>
        <w:sz w:val="40"/>
        <w:szCs w:val="20"/>
      </w:rPr>
      <w:t>Highfield Hall</w:t>
    </w:r>
    <w:r w:rsidR="003C0388" w:rsidRPr="007C7EE4">
      <w:rPr>
        <w:rFonts w:ascii="Century Gothic" w:hAnsi="Century Gothic"/>
        <w:b/>
        <w:sz w:val="40"/>
        <w:szCs w:val="20"/>
      </w:rPr>
      <w:t xml:space="preserve"> </w:t>
    </w:r>
    <w:r w:rsidR="00DC2F93" w:rsidRPr="007C7EE4">
      <w:rPr>
        <w:rFonts w:ascii="Century Gothic" w:hAnsi="Century Gothic"/>
        <w:b/>
        <w:sz w:val="40"/>
        <w:szCs w:val="20"/>
      </w:rPr>
      <w:t>Primary</w:t>
    </w:r>
    <w:r w:rsidR="0022764F" w:rsidRPr="007C7EE4">
      <w:rPr>
        <w:rFonts w:ascii="Century Gothic" w:hAnsi="Century Gothic"/>
        <w:b/>
        <w:sz w:val="40"/>
        <w:szCs w:val="20"/>
      </w:rPr>
      <w:t xml:space="preserve"> S</w:t>
    </w:r>
    <w:r w:rsidR="00DC2F93" w:rsidRPr="007C7EE4">
      <w:rPr>
        <w:rFonts w:ascii="Century Gothic" w:hAnsi="Century Gothic"/>
        <w:b/>
        <w:sz w:val="40"/>
        <w:szCs w:val="20"/>
      </w:rPr>
      <w:t>chool</w:t>
    </w:r>
    <w:r w:rsidR="000E4984" w:rsidRPr="007C7EE4">
      <w:rPr>
        <w:rFonts w:ascii="Century Gothic" w:hAnsi="Century Gothic"/>
        <w:b/>
        <w:sz w:val="40"/>
        <w:szCs w:val="20"/>
      </w:rPr>
      <w:t xml:space="preserve"> </w:t>
    </w:r>
    <w:r w:rsidR="004A284A">
      <w:rPr>
        <w:rFonts w:ascii="Century Gothic" w:hAnsi="Century Gothic"/>
        <w:b/>
        <w:sz w:val="40"/>
        <w:szCs w:val="20"/>
      </w:rPr>
      <w:t>CHILDREN’S MENTAL HEALTH</w:t>
    </w:r>
    <w:r w:rsidR="0022764F" w:rsidRPr="007C7EE4">
      <w:rPr>
        <w:rFonts w:ascii="Century Gothic" w:hAnsi="Century Gothic"/>
        <w:b/>
        <w:sz w:val="40"/>
        <w:szCs w:val="20"/>
      </w:rPr>
      <w:t xml:space="preserve"> ON A PAGE</w:t>
    </w:r>
  </w:p>
  <w:p w14:paraId="225BA6D3" w14:textId="5A51AAC5" w:rsidR="00FB6549" w:rsidRPr="00FB6549" w:rsidRDefault="00FB6549" w:rsidP="00FB6549">
    <w:pPr>
      <w:pStyle w:val="Header"/>
      <w:rPr>
        <w:rFonts w:ascii="Century Gothic" w:hAnsi="Century Gothic"/>
        <w:sz w:val="24"/>
        <w:szCs w:val="20"/>
      </w:rPr>
    </w:pPr>
    <w:r>
      <w:rPr>
        <w:rFonts w:ascii="Century Gothic" w:hAnsi="Century Gothic"/>
        <w:sz w:val="24"/>
        <w:szCs w:val="20"/>
      </w:rPr>
      <w:t xml:space="preserve">                       </w:t>
    </w:r>
    <w:r w:rsidRPr="00FB6549">
      <w:rPr>
        <w:rFonts w:ascii="Century Gothic" w:hAnsi="Century Gothic"/>
        <w:sz w:val="24"/>
        <w:szCs w:val="20"/>
      </w:rPr>
      <w:t>[See also PSHE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D49C7"/>
    <w:multiLevelType w:val="hybridMultilevel"/>
    <w:tmpl w:val="91921D96"/>
    <w:lvl w:ilvl="0" w:tplc="6CCC41F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7"/>
  </w:num>
  <w:num w:numId="4">
    <w:abstractNumId w:val="18"/>
  </w:num>
  <w:num w:numId="5">
    <w:abstractNumId w:val="4"/>
  </w:num>
  <w:num w:numId="6">
    <w:abstractNumId w:val="2"/>
  </w:num>
  <w:num w:numId="7">
    <w:abstractNumId w:val="12"/>
  </w:num>
  <w:num w:numId="8">
    <w:abstractNumId w:val="17"/>
  </w:num>
  <w:num w:numId="9">
    <w:abstractNumId w:val="11"/>
  </w:num>
  <w:num w:numId="10">
    <w:abstractNumId w:val="8"/>
  </w:num>
  <w:num w:numId="11">
    <w:abstractNumId w:val="1"/>
  </w:num>
  <w:num w:numId="12">
    <w:abstractNumId w:val="10"/>
  </w:num>
  <w:num w:numId="13">
    <w:abstractNumId w:val="5"/>
  </w:num>
  <w:num w:numId="14">
    <w:abstractNumId w:val="13"/>
  </w:num>
  <w:num w:numId="15">
    <w:abstractNumId w:val="15"/>
  </w:num>
  <w:num w:numId="16">
    <w:abstractNumId w:val="16"/>
  </w:num>
  <w:num w:numId="17">
    <w:abstractNumId w:val="0"/>
  </w:num>
  <w:num w:numId="18">
    <w:abstractNumId w:val="9"/>
  </w:num>
  <w:num w:numId="19">
    <w:abstractNumId w:val="3"/>
  </w:num>
  <w:num w:numId="20">
    <w:abstractNumId w:val="21"/>
  </w:num>
  <w:num w:numId="21">
    <w:abstractNumId w:val="19"/>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E4984"/>
    <w:rsid w:val="001009CA"/>
    <w:rsid w:val="001013DE"/>
    <w:rsid w:val="00114C00"/>
    <w:rsid w:val="001904A5"/>
    <w:rsid w:val="001C218D"/>
    <w:rsid w:val="001D4064"/>
    <w:rsid w:val="001F4750"/>
    <w:rsid w:val="002138E4"/>
    <w:rsid w:val="0022764F"/>
    <w:rsid w:val="00232DA7"/>
    <w:rsid w:val="002D0153"/>
    <w:rsid w:val="002D3345"/>
    <w:rsid w:val="002D4005"/>
    <w:rsid w:val="00353B9D"/>
    <w:rsid w:val="003750B8"/>
    <w:rsid w:val="003A0A77"/>
    <w:rsid w:val="003C0388"/>
    <w:rsid w:val="003C52EF"/>
    <w:rsid w:val="003D0D45"/>
    <w:rsid w:val="003E6001"/>
    <w:rsid w:val="003F5138"/>
    <w:rsid w:val="003F5D2C"/>
    <w:rsid w:val="00420722"/>
    <w:rsid w:val="00423F50"/>
    <w:rsid w:val="00445893"/>
    <w:rsid w:val="00476801"/>
    <w:rsid w:val="00493D8A"/>
    <w:rsid w:val="004A284A"/>
    <w:rsid w:val="004E172D"/>
    <w:rsid w:val="004F598E"/>
    <w:rsid w:val="00512B41"/>
    <w:rsid w:val="005134BE"/>
    <w:rsid w:val="005215A0"/>
    <w:rsid w:val="00560110"/>
    <w:rsid w:val="0059287C"/>
    <w:rsid w:val="005A36FD"/>
    <w:rsid w:val="005A4A2C"/>
    <w:rsid w:val="005F7F89"/>
    <w:rsid w:val="006049CA"/>
    <w:rsid w:val="0060549A"/>
    <w:rsid w:val="00623C01"/>
    <w:rsid w:val="00627F6F"/>
    <w:rsid w:val="006521E3"/>
    <w:rsid w:val="00681D65"/>
    <w:rsid w:val="006A3A19"/>
    <w:rsid w:val="006C23D5"/>
    <w:rsid w:val="006F09B1"/>
    <w:rsid w:val="007174CC"/>
    <w:rsid w:val="007828E2"/>
    <w:rsid w:val="00784933"/>
    <w:rsid w:val="00796142"/>
    <w:rsid w:val="007C7EE4"/>
    <w:rsid w:val="007F3638"/>
    <w:rsid w:val="007F42DB"/>
    <w:rsid w:val="0081760D"/>
    <w:rsid w:val="0082549A"/>
    <w:rsid w:val="00825C9A"/>
    <w:rsid w:val="00875F56"/>
    <w:rsid w:val="00885273"/>
    <w:rsid w:val="00894FFC"/>
    <w:rsid w:val="008D6146"/>
    <w:rsid w:val="0091446D"/>
    <w:rsid w:val="00915B9F"/>
    <w:rsid w:val="009341CC"/>
    <w:rsid w:val="009347FD"/>
    <w:rsid w:val="00937881"/>
    <w:rsid w:val="00957240"/>
    <w:rsid w:val="009723FD"/>
    <w:rsid w:val="009D0231"/>
    <w:rsid w:val="009D26A2"/>
    <w:rsid w:val="009F0F1A"/>
    <w:rsid w:val="00A0514A"/>
    <w:rsid w:val="00A572BA"/>
    <w:rsid w:val="00A72E2F"/>
    <w:rsid w:val="00A810E8"/>
    <w:rsid w:val="00A87DCC"/>
    <w:rsid w:val="00AF404F"/>
    <w:rsid w:val="00B605A1"/>
    <w:rsid w:val="00BC03B8"/>
    <w:rsid w:val="00BE34CA"/>
    <w:rsid w:val="00C01C58"/>
    <w:rsid w:val="00C03138"/>
    <w:rsid w:val="00C066F5"/>
    <w:rsid w:val="00C1022B"/>
    <w:rsid w:val="00C535A8"/>
    <w:rsid w:val="00CA2183"/>
    <w:rsid w:val="00CB1A14"/>
    <w:rsid w:val="00CC7AE0"/>
    <w:rsid w:val="00CE32CC"/>
    <w:rsid w:val="00D25837"/>
    <w:rsid w:val="00D5425E"/>
    <w:rsid w:val="00DA5CBF"/>
    <w:rsid w:val="00DC2F93"/>
    <w:rsid w:val="00DC4375"/>
    <w:rsid w:val="00E01DF0"/>
    <w:rsid w:val="00E06413"/>
    <w:rsid w:val="00E12D72"/>
    <w:rsid w:val="00E27A95"/>
    <w:rsid w:val="00E27AA9"/>
    <w:rsid w:val="00E413D3"/>
    <w:rsid w:val="00E41B0E"/>
    <w:rsid w:val="00E71B59"/>
    <w:rsid w:val="00E720FE"/>
    <w:rsid w:val="00E756D1"/>
    <w:rsid w:val="00EB56BF"/>
    <w:rsid w:val="00EB583F"/>
    <w:rsid w:val="00EB651D"/>
    <w:rsid w:val="00EC0D05"/>
    <w:rsid w:val="00ED37E7"/>
    <w:rsid w:val="00ED3AB9"/>
    <w:rsid w:val="00EE2658"/>
    <w:rsid w:val="00F30B98"/>
    <w:rsid w:val="00F41B69"/>
    <w:rsid w:val="00F6619D"/>
    <w:rsid w:val="00F776B2"/>
    <w:rsid w:val="00FA2674"/>
    <w:rsid w:val="00FA5A6E"/>
    <w:rsid w:val="00FB0AD2"/>
    <w:rsid w:val="00FB47F4"/>
    <w:rsid w:val="00FB6362"/>
    <w:rsid w:val="00FB6549"/>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ighfieldhall.derbyshire.sch.uk/web/myhappymind/664832" TargetMode="External"/><Relationship Id="rId4" Type="http://schemas.openxmlformats.org/officeDocument/2006/relationships/settings" Target="settings.xml"/><Relationship Id="rId9" Type="http://schemas.openxmlformats.org/officeDocument/2006/relationships/hyperlink" Target="https://www.highfieldhall.derbyshire.sch.uk/web/myhappymind/6648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D52B-3743-4EFF-A9B4-6F8082E2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Mike Bywaters</cp:lastModifiedBy>
  <cp:revision>3</cp:revision>
  <cp:lastPrinted>2024-01-31T10:08:00Z</cp:lastPrinted>
  <dcterms:created xsi:type="dcterms:W3CDTF">2024-01-30T14:05:00Z</dcterms:created>
  <dcterms:modified xsi:type="dcterms:W3CDTF">2024-01-31T10:08:00Z</dcterms:modified>
</cp:coreProperties>
</file>